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tl/>
        </w:rPr>
      </w:pPr>
    </w:p>
    <w:p w:rsidR="00B93463" w:rsidRDefault="00B93463" w:rsidP="006816EC">
      <w:pPr>
        <w:suppressLineNumbers/>
        <w:rPr>
          <w:sz w:val="26"/>
          <w:szCs w:val="26"/>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6816EC">
            <w:pPr>
              <w:jc w:val="both"/>
              <w:rPr>
                <w:rFonts w:ascii="Arial (W1)" w:hAnsi="Arial (W1)"/>
                <w:b/>
                <w:bCs/>
                <w:sz w:val="28"/>
                <w:szCs w:val="28"/>
              </w:rPr>
            </w:pPr>
            <w:r>
              <w:rPr>
                <w:rFonts w:hint="cs"/>
                <w:b/>
                <w:bCs/>
                <w:sz w:val="28"/>
                <w:rtl/>
              </w:rPr>
              <w:t xml:space="preserve">בפני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מירה רום פלאי</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D805CE" w:rsidRDefault="00F4446B" w:rsidP="005339E7">
                <w:pPr>
                  <w:rPr>
                    <w:rFonts w:ascii="Arial (W1)" w:hAnsi="Arial (W1)"/>
                    <w:b/>
                    <w:bCs/>
                    <w:noProof w:val="0"/>
                    <w:sz w:val="28"/>
                    <w:szCs w:val="28"/>
                  </w:rPr>
                </w:pPr>
                <w:r>
                  <w:rPr>
                    <w:rFonts w:hint="cs"/>
                    <w:b/>
                    <w:bCs/>
                    <w:noProof w:val="0"/>
                    <w:sz w:val="28"/>
                    <w:rtl/>
                  </w:rPr>
                  <w:t>תובע</w:t>
                </w:r>
                <w:r w:rsidR="005339E7">
                  <w:rPr>
                    <w:rFonts w:hint="cs"/>
                    <w:b/>
                    <w:bCs/>
                    <w:noProof w:val="0"/>
                    <w:sz w:val="28"/>
                    <w:rtl/>
                  </w:rPr>
                  <w:t>ת</w:t>
                </w:r>
              </w:p>
            </w:sdtContent>
          </w:sdt>
        </w:tc>
        <w:tc>
          <w:tcPr>
            <w:tcW w:w="5571" w:type="dxa"/>
          </w:tcPr>
          <w:p w:rsidR="006816EC" w:rsidRDefault="006816EC">
            <w:pPr>
              <w:rPr>
                <w:rFonts w:ascii="Arial (W1)" w:hAnsi="Arial (W1)"/>
                <w:b/>
                <w:bCs/>
                <w:noProof w:val="0"/>
                <w:sz w:val="28"/>
                <w:szCs w:val="28"/>
                <w:rtl/>
              </w:rPr>
            </w:pPr>
          </w:p>
          <w:p w:rsidR="006816EC" w:rsidRDefault="00CD6A0A" w:rsidP="00641071">
            <w:pPr>
              <w:rPr>
                <w:rFonts w:ascii="Arial (W1)" w:hAnsi="Arial (W1)"/>
                <w:b/>
                <w:bCs/>
                <w:noProof w:val="0"/>
                <w:sz w:val="28"/>
                <w:szCs w:val="28"/>
              </w:rPr>
            </w:pPr>
            <w:sdt>
              <w:sdtPr>
                <w:rPr>
                  <w:rFonts w:hint="cs"/>
                  <w:b/>
                  <w:bCs/>
                  <w:noProof w:val="0"/>
                  <w:sz w:val="28"/>
                  <w:rtl/>
                </w:rPr>
                <w:alias w:val="1478"/>
                <w:tag w:val="1478"/>
                <w:id w:val="160126198"/>
                <w:text w:multiLine="1"/>
              </w:sdtPr>
              <w:sdtEndPr/>
              <w:sdtContent>
                <w:r w:rsidR="00E44DDF">
                  <w:rPr>
                    <w:rFonts w:hint="cs"/>
                    <w:b/>
                    <w:bCs/>
                    <w:noProof w:val="0"/>
                    <w:sz w:val="28"/>
                    <w:rtl/>
                  </w:rPr>
                  <w:t>ב</w:t>
                </w:r>
                <w:r w:rsidR="00641071">
                  <w:rPr>
                    <w:rFonts w:hint="cs"/>
                    <w:b/>
                    <w:bCs/>
                    <w:noProof w:val="0"/>
                    <w:sz w:val="28"/>
                    <w:rtl/>
                  </w:rPr>
                  <w:t>' ת'</w:t>
                </w:r>
              </w:sdtContent>
            </w:sdt>
            <w:r w:rsidR="009C358E" w:rsidRPr="009C358E">
              <w:rPr>
                <w:rFonts w:hint="cs"/>
                <w:b/>
                <w:bCs/>
                <w:noProof w:val="0"/>
                <w:sz w:val="28"/>
                <w:rtl/>
              </w:rPr>
              <w:t xml:space="preserve"> </w:t>
            </w:r>
            <w:r w:rsidR="00E44DDF" w:rsidRPr="0042717D">
              <w:rPr>
                <w:rFonts w:ascii="Arial" w:hAnsi="Arial"/>
                <w:b/>
                <w:bCs/>
                <w:noProof w:val="0"/>
                <w:rtl/>
              </w:rPr>
              <w:t>ע"י</w:t>
            </w:r>
            <w:r w:rsidR="00E44DDF">
              <w:rPr>
                <w:rFonts w:ascii="Arial" w:hAnsi="Arial"/>
                <w:b/>
                <w:bCs/>
                <w:noProof w:val="0"/>
                <w:sz w:val="26"/>
                <w:szCs w:val="26"/>
                <w:rtl/>
              </w:rPr>
              <w:t xml:space="preserve"> </w:t>
            </w:r>
            <w:r w:rsidR="00E44DDF" w:rsidRPr="0042717D">
              <w:rPr>
                <w:rFonts w:ascii="Arial" w:hAnsi="Arial"/>
                <w:b/>
                <w:bCs/>
                <w:noProof w:val="0"/>
                <w:rtl/>
              </w:rPr>
              <w:t>ב"כ עוה"ד</w:t>
            </w:r>
            <w:r w:rsidR="0042717D" w:rsidRPr="0042717D">
              <w:rPr>
                <w:rFonts w:ascii="Arial" w:hAnsi="Arial" w:hint="cs"/>
                <w:b/>
                <w:bCs/>
                <w:noProof w:val="0"/>
                <w:rtl/>
              </w:rPr>
              <w:t xml:space="preserve"> אחיקם גריידי</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CD6A0A" w:rsidP="005339E7">
            <w:pPr>
              <w:rPr>
                <w:rFonts w:ascii="Arial (W1)" w:hAnsi="Arial (W1)"/>
                <w:b/>
                <w:bCs/>
                <w:noProof w:val="0"/>
                <w:sz w:val="28"/>
                <w:szCs w:val="28"/>
              </w:rPr>
            </w:pPr>
            <w:sdt>
              <w:sdtPr>
                <w:rPr>
                  <w:rFonts w:hint="cs"/>
                  <w:rtl/>
                </w:rPr>
                <w:alias w:val="1184"/>
                <w:tag w:val="1184"/>
                <w:id w:val="-910234160"/>
                <w:text w:multiLine="1"/>
              </w:sdtPr>
              <w:sdtEndPr/>
              <w:sdtContent>
                <w:r w:rsidR="00E44DDF">
                  <w:rPr>
                    <w:rFonts w:hint="cs"/>
                    <w:b/>
                    <w:bCs/>
                    <w:noProof w:val="0"/>
                    <w:sz w:val="28"/>
                    <w:rtl/>
                  </w:rPr>
                  <w:t>נתבע</w:t>
                </w:r>
                <w:r w:rsidR="005339E7">
                  <w:rPr>
                    <w:rFonts w:hint="cs"/>
                    <w:b/>
                    <w:bCs/>
                    <w:noProof w:val="0"/>
                    <w:sz w:val="28"/>
                    <w:rtl/>
                  </w:rPr>
                  <w:t>ת</w:t>
                </w:r>
              </w:sdtContent>
            </w:sdt>
          </w:p>
        </w:tc>
        <w:tc>
          <w:tcPr>
            <w:tcW w:w="5571" w:type="dxa"/>
          </w:tcPr>
          <w:p w:rsidR="006816EC" w:rsidRDefault="006816EC">
            <w:pPr>
              <w:rPr>
                <w:rFonts w:ascii="Arial (W1)" w:hAnsi="Arial (W1)"/>
                <w:b/>
                <w:bCs/>
                <w:noProof w:val="0"/>
                <w:sz w:val="28"/>
                <w:szCs w:val="28"/>
                <w:rtl/>
              </w:rPr>
            </w:pPr>
          </w:p>
          <w:p w:rsidR="006816EC" w:rsidRPr="0042717D" w:rsidRDefault="00CD6A0A" w:rsidP="00641071">
            <w:pPr>
              <w:rPr>
                <w:rFonts w:ascii="Arial (W1)" w:hAnsi="Arial (W1)"/>
                <w:b/>
                <w:bCs/>
                <w:noProof w:val="0"/>
              </w:rPr>
            </w:pPr>
            <w:sdt>
              <w:sdtPr>
                <w:rPr>
                  <w:rFonts w:hint="cs"/>
                  <w:b/>
                  <w:bCs/>
                  <w:noProof w:val="0"/>
                  <w:sz w:val="28"/>
                  <w:rtl/>
                </w:rPr>
                <w:alias w:val="1486"/>
                <w:tag w:val="1486"/>
                <w:id w:val="1487590763"/>
                <w:text w:multiLine="1"/>
              </w:sdtPr>
              <w:sdtEndPr/>
              <w:sdtContent>
                <w:r w:rsidR="00E44DDF">
                  <w:rPr>
                    <w:rFonts w:hint="cs"/>
                    <w:b/>
                    <w:bCs/>
                    <w:noProof w:val="0"/>
                    <w:sz w:val="28"/>
                    <w:rtl/>
                  </w:rPr>
                  <w:t>ש</w:t>
                </w:r>
                <w:r w:rsidR="00641071">
                  <w:rPr>
                    <w:rFonts w:hint="cs"/>
                    <w:b/>
                    <w:bCs/>
                    <w:noProof w:val="0"/>
                    <w:sz w:val="28"/>
                    <w:rtl/>
                  </w:rPr>
                  <w:t>'</w:t>
                </w:r>
                <w:r w:rsidR="00E44DDF">
                  <w:rPr>
                    <w:rFonts w:hint="cs"/>
                    <w:b/>
                    <w:bCs/>
                    <w:noProof w:val="0"/>
                    <w:sz w:val="28"/>
                    <w:rtl/>
                  </w:rPr>
                  <w:t xml:space="preserve"> ב</w:t>
                </w:r>
                <w:r w:rsidR="00641071">
                  <w:rPr>
                    <w:rFonts w:hint="cs"/>
                    <w:b/>
                    <w:bCs/>
                    <w:noProof w:val="0"/>
                    <w:sz w:val="28"/>
                    <w:rtl/>
                  </w:rPr>
                  <w:t xml:space="preserve">' </w:t>
                </w:r>
                <w:r w:rsidR="00E44DDF">
                  <w:rPr>
                    <w:rFonts w:hint="cs"/>
                    <w:b/>
                    <w:bCs/>
                    <w:noProof w:val="0"/>
                    <w:sz w:val="28"/>
                    <w:rtl/>
                  </w:rPr>
                  <w:t>מ</w:t>
                </w:r>
                <w:r w:rsidR="00641071">
                  <w:rPr>
                    <w:rFonts w:hint="cs"/>
                    <w:b/>
                    <w:bCs/>
                    <w:noProof w:val="0"/>
                    <w:sz w:val="28"/>
                    <w:rtl/>
                  </w:rPr>
                  <w:t>'</w:t>
                </w:r>
              </w:sdtContent>
            </w:sdt>
            <w:r w:rsidR="009C358E" w:rsidRPr="009C358E">
              <w:rPr>
                <w:rFonts w:hint="cs"/>
                <w:b/>
                <w:bCs/>
                <w:noProof w:val="0"/>
                <w:sz w:val="28"/>
                <w:rtl/>
              </w:rPr>
              <w:t xml:space="preserve"> </w:t>
            </w:r>
            <w:r w:rsidR="00E44DDF" w:rsidRPr="00303B03">
              <w:rPr>
                <w:rFonts w:ascii="Arial" w:hAnsi="Arial"/>
                <w:b/>
                <w:bCs/>
                <w:noProof w:val="0"/>
                <w:rtl/>
              </w:rPr>
              <w:t>ע"י ב"כ עוה"ד</w:t>
            </w:r>
            <w:r w:rsidR="0042717D" w:rsidRPr="00303B03">
              <w:rPr>
                <w:rFonts w:ascii="Arial" w:hAnsi="Arial" w:hint="cs"/>
                <w:b/>
                <w:bCs/>
                <w:noProof w:val="0"/>
                <w:rtl/>
              </w:rPr>
              <w:t xml:space="preserve"> צבי שטיין</w:t>
            </w:r>
          </w:p>
          <w:p w:rsidR="006816EC" w:rsidRDefault="006816EC">
            <w:pPr>
              <w:rPr>
                <w:rFonts w:ascii="Arial (W1)" w:hAnsi="Arial (W1)"/>
                <w:b/>
                <w:bCs/>
                <w:noProof w:val="0"/>
                <w:sz w:val="28"/>
                <w:szCs w:val="28"/>
              </w:rPr>
            </w:pPr>
          </w:p>
        </w:tc>
      </w:tr>
      <w:tr w:rsidR="00D36A71" w:rsidTr="00A94B1C">
        <w:trPr>
          <w:jc w:val="center"/>
        </w:trPr>
        <w:tc>
          <w:tcPr>
            <w:tcW w:w="8820" w:type="dxa"/>
            <w:gridSpan w:val="3"/>
          </w:tcPr>
          <w:p w:rsidR="00D36A71" w:rsidRDefault="00D36A71" w:rsidP="00A73DA2">
            <w:pPr>
              <w:rPr>
                <w:rFonts w:ascii="Arial (W1)" w:hAnsi="Arial (W1)"/>
                <w:b/>
                <w:bCs/>
                <w:noProof w:val="0"/>
                <w:sz w:val="28"/>
                <w:szCs w:val="28"/>
                <w:rtl/>
              </w:rPr>
            </w:pPr>
          </w:p>
        </w:tc>
      </w:tr>
      <w:tr w:rsidR="00D36A71" w:rsidTr="006816EC">
        <w:trPr>
          <w:jc w:val="center"/>
        </w:trPr>
        <w:tc>
          <w:tcPr>
            <w:tcW w:w="3249" w:type="dxa"/>
            <w:gridSpan w:val="2"/>
          </w:tcPr>
          <w:p w:rsidR="00D805CE" w:rsidRDefault="00D805CE">
            <w:pPr>
              <w:rPr>
                <w:rFonts w:ascii="David" w:eastAsia="David" w:hAnsi="David"/>
                <w:noProof w:val="0"/>
              </w:rPr>
            </w:pPr>
          </w:p>
        </w:tc>
        <w:tc>
          <w:tcPr>
            <w:tcW w:w="5571" w:type="dxa"/>
          </w:tcPr>
          <w:p w:rsidR="00D805CE" w:rsidRDefault="00D805CE">
            <w:pPr>
              <w:rPr>
                <w:rFonts w:cs="Times New Roman"/>
              </w:rPr>
            </w:pPr>
          </w:p>
        </w:tc>
      </w:tr>
    </w:tbl>
    <w:p w:rsidR="006816EC" w:rsidRDefault="006816EC" w:rsidP="006816EC">
      <w:pPr>
        <w:suppressLineNumbers/>
        <w:rPr>
          <w:rFonts w:ascii="Arial (W1)" w:hAnsi="Arial (W1)"/>
          <w:sz w:val="28"/>
          <w:szCs w:val="28"/>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5339E7" w:rsidRDefault="005339E7" w:rsidP="008B08AD">
      <w:pPr>
        <w:pStyle w:val="ad"/>
        <w:numPr>
          <w:ilvl w:val="0"/>
          <w:numId w:val="1"/>
        </w:numPr>
        <w:tabs>
          <w:tab w:val="left" w:pos="1134"/>
        </w:tabs>
        <w:spacing w:after="160" w:line="360" w:lineRule="auto"/>
        <w:ind w:left="708" w:hanging="498"/>
        <w:contextualSpacing w:val="0"/>
        <w:jc w:val="both"/>
        <w:rPr>
          <w:rFonts w:ascii="Arial" w:hAnsi="Arial"/>
          <w:noProof w:val="0"/>
        </w:rPr>
      </w:pPr>
      <w:r>
        <w:rPr>
          <w:rFonts w:ascii="Arial" w:hAnsi="Arial"/>
          <w:noProof w:val="0"/>
          <w:rtl/>
        </w:rPr>
        <w:t>בפני תביעה אשר מהותה הוגדר על ידי התובעת כתביעה "הצהרתית" ובה התבקש מתן פסק דין בו יוצהר שהדירה מושא המחלוקת אינה כלולה בע</w:t>
      </w:r>
      <w:r w:rsidR="00AC6BB2">
        <w:rPr>
          <w:rFonts w:ascii="Arial" w:hAnsi="Arial" w:hint="cs"/>
          <w:noProof w:val="0"/>
          <w:rtl/>
        </w:rPr>
        <w:t>י</w:t>
      </w:r>
      <w:r>
        <w:rPr>
          <w:rFonts w:ascii="Arial" w:hAnsi="Arial"/>
          <w:noProof w:val="0"/>
          <w:rtl/>
        </w:rPr>
        <w:t xml:space="preserve">זבון המנוח, וכפועל יוצא על בטלות רישום הנתבעת כבעלת זכויות בדירה. </w:t>
      </w:r>
    </w:p>
    <w:p w:rsidR="005339E7" w:rsidRDefault="005339E7" w:rsidP="008B08AD">
      <w:pPr>
        <w:pStyle w:val="ad"/>
        <w:numPr>
          <w:ilvl w:val="0"/>
          <w:numId w:val="1"/>
        </w:numPr>
        <w:tabs>
          <w:tab w:val="left" w:pos="1134"/>
        </w:tabs>
        <w:spacing w:after="160" w:line="360" w:lineRule="auto"/>
        <w:ind w:left="708" w:hanging="498"/>
        <w:contextualSpacing w:val="0"/>
        <w:jc w:val="both"/>
        <w:rPr>
          <w:rFonts w:ascii="Arial" w:hAnsi="Arial"/>
          <w:noProof w:val="0"/>
        </w:rPr>
      </w:pPr>
      <w:r>
        <w:rPr>
          <w:rFonts w:ascii="Arial" w:hAnsi="Arial"/>
          <w:noProof w:val="0"/>
          <w:rtl/>
        </w:rPr>
        <w:t>בפירוט הסעדים בסוף כתב התביעה, הוסיפה התובעת ועתרה להורות על מתן חשבונות מהנתבעת אודות כלל נכסי המנוח שהצטברו ליום 04.04.2000, מכוח הסכם הגירושין בין התובעת למנוח.</w:t>
      </w:r>
    </w:p>
    <w:p w:rsidR="005339E7" w:rsidRDefault="005339E7" w:rsidP="008B08AD">
      <w:pPr>
        <w:pStyle w:val="ad"/>
        <w:numPr>
          <w:ilvl w:val="0"/>
          <w:numId w:val="1"/>
        </w:numPr>
        <w:tabs>
          <w:tab w:val="left" w:pos="1134"/>
        </w:tabs>
        <w:spacing w:after="160" w:line="360" w:lineRule="auto"/>
        <w:ind w:left="708" w:hanging="498"/>
        <w:contextualSpacing w:val="0"/>
        <w:jc w:val="both"/>
        <w:rPr>
          <w:rFonts w:ascii="Arial" w:hAnsi="Arial"/>
          <w:noProof w:val="0"/>
        </w:rPr>
      </w:pPr>
      <w:r>
        <w:rPr>
          <w:rFonts w:ascii="Arial" w:hAnsi="Arial"/>
          <w:noProof w:val="0"/>
          <w:rtl/>
        </w:rPr>
        <w:t>כפי שיפורט להלן, מדובר בתביעה שברובה אינה מגלה עילת תביעה כלל, כוללת טענות ביחס לזכויות מהסכם גירושין לפני למעלה מ- 20 שנים, מהווה ניסיון למקצה שיפורים על בסיס טענות שכבר נדונו ונדחו בעבר על ידי בית המשפט, ואין אלא להסיק שלא היה כל מקום להגשת ההליך מלכתחילה.</w:t>
      </w:r>
    </w:p>
    <w:p w:rsidR="005339E7" w:rsidRDefault="005339E7" w:rsidP="008B08AD">
      <w:pPr>
        <w:pStyle w:val="ad"/>
        <w:numPr>
          <w:ilvl w:val="0"/>
          <w:numId w:val="1"/>
        </w:numPr>
        <w:tabs>
          <w:tab w:val="left" w:pos="1134"/>
        </w:tabs>
        <w:spacing w:after="160" w:line="360" w:lineRule="auto"/>
        <w:ind w:left="708" w:hanging="498"/>
        <w:contextualSpacing w:val="0"/>
        <w:jc w:val="both"/>
        <w:rPr>
          <w:rFonts w:ascii="Arial" w:hAnsi="Arial"/>
          <w:noProof w:val="0"/>
        </w:rPr>
      </w:pPr>
      <w:r>
        <w:rPr>
          <w:rFonts w:ascii="Arial" w:hAnsi="Arial"/>
          <w:noProof w:val="0"/>
          <w:rtl/>
        </w:rPr>
        <w:t xml:space="preserve">דומה כי התובעת מסרבת "להרפות מן הסכסוך" על אף חלוף השנים, ועל אף העובדה שהמחלוקות בינה לבין הנתבעת בנוגע </w:t>
      </w:r>
      <w:r w:rsidR="00953F6C">
        <w:rPr>
          <w:rFonts w:ascii="Arial" w:hAnsi="Arial" w:hint="cs"/>
          <w:noProof w:val="0"/>
          <w:rtl/>
        </w:rPr>
        <w:t xml:space="preserve">לזכויות הדירה </w:t>
      </w:r>
      <w:r w:rsidR="003E3554">
        <w:rPr>
          <w:rFonts w:ascii="Arial" w:hAnsi="Arial" w:hint="cs"/>
          <w:noProof w:val="0"/>
          <w:rtl/>
        </w:rPr>
        <w:t>שבמוקד המחלוקת</w:t>
      </w:r>
      <w:r w:rsidR="00D1092F">
        <w:rPr>
          <w:rFonts w:ascii="Arial" w:hAnsi="Arial" w:hint="cs"/>
          <w:noProof w:val="0"/>
          <w:rtl/>
        </w:rPr>
        <w:t xml:space="preserve"> </w:t>
      </w:r>
      <w:r>
        <w:rPr>
          <w:rFonts w:ascii="Arial" w:hAnsi="Arial"/>
          <w:noProof w:val="0"/>
          <w:rtl/>
        </w:rPr>
        <w:t xml:space="preserve">כבר נדונו והוכרעו, אולם התובעת ממשיכה לתור אחר טענות שיהוו בסיס למימוש זכויותיה לשיטתה. </w:t>
      </w:r>
    </w:p>
    <w:p w:rsidR="005339E7" w:rsidRDefault="005339E7" w:rsidP="00F4446B">
      <w:pPr>
        <w:spacing w:after="120" w:line="360" w:lineRule="auto"/>
        <w:contextualSpacing/>
        <w:jc w:val="both"/>
        <w:rPr>
          <w:rFonts w:ascii="Arial" w:hAnsi="Arial"/>
          <w:b/>
          <w:bCs/>
          <w:noProof w:val="0"/>
          <w:u w:val="single"/>
        </w:rPr>
      </w:pPr>
    </w:p>
    <w:p w:rsidR="005339E7" w:rsidRDefault="005339E7" w:rsidP="00D70671">
      <w:pPr>
        <w:tabs>
          <w:tab w:val="left" w:pos="4395"/>
        </w:tabs>
        <w:spacing w:after="120" w:line="360" w:lineRule="auto"/>
        <w:jc w:val="both"/>
        <w:rPr>
          <w:rFonts w:ascii="Arial" w:hAnsi="Arial"/>
          <w:b/>
          <w:bCs/>
          <w:noProof w:val="0"/>
          <w:u w:val="single"/>
          <w:rtl/>
        </w:rPr>
      </w:pPr>
      <w:r>
        <w:rPr>
          <w:rFonts w:ascii="Arial" w:hAnsi="Arial"/>
          <w:b/>
          <w:bCs/>
          <w:noProof w:val="0"/>
          <w:u w:val="single"/>
          <w:rtl/>
        </w:rPr>
        <w:t>רקע והשתלשלות האירועים הצריכים לעניין</w:t>
      </w:r>
    </w:p>
    <w:p w:rsidR="005339E7" w:rsidRDefault="005339E7" w:rsidP="00641071">
      <w:pPr>
        <w:pStyle w:val="ad"/>
        <w:numPr>
          <w:ilvl w:val="0"/>
          <w:numId w:val="1"/>
        </w:numPr>
        <w:tabs>
          <w:tab w:val="left" w:pos="1134"/>
        </w:tabs>
        <w:spacing w:after="160" w:line="360" w:lineRule="auto"/>
        <w:ind w:left="708" w:hanging="498"/>
        <w:contextualSpacing w:val="0"/>
        <w:jc w:val="both"/>
        <w:rPr>
          <w:rFonts w:ascii="Arial" w:hAnsi="Arial"/>
          <w:noProof w:val="0"/>
        </w:rPr>
      </w:pPr>
      <w:r>
        <w:rPr>
          <w:rFonts w:ascii="Arial" w:hAnsi="Arial"/>
          <w:noProof w:val="0"/>
          <w:rtl/>
        </w:rPr>
        <w:t>התובעת היא גרושתו של המנוח ב</w:t>
      </w:r>
      <w:r w:rsidR="00641071">
        <w:rPr>
          <w:rFonts w:ascii="Arial" w:hAnsi="Arial" w:hint="cs"/>
          <w:noProof w:val="0"/>
          <w:rtl/>
        </w:rPr>
        <w:t>'</w:t>
      </w:r>
      <w:r>
        <w:rPr>
          <w:rFonts w:ascii="Arial" w:hAnsi="Arial"/>
          <w:noProof w:val="0"/>
          <w:rtl/>
        </w:rPr>
        <w:t xml:space="preserve"> כ</w:t>
      </w:r>
      <w:r w:rsidR="00641071">
        <w:rPr>
          <w:rFonts w:ascii="Arial" w:hAnsi="Arial" w:hint="cs"/>
          <w:noProof w:val="0"/>
          <w:rtl/>
        </w:rPr>
        <w:t>'</w:t>
      </w:r>
      <w:r>
        <w:rPr>
          <w:rFonts w:ascii="Arial" w:hAnsi="Arial"/>
          <w:noProof w:val="0"/>
          <w:rtl/>
        </w:rPr>
        <w:t xml:space="preserve"> ז"ל, שנפטר ביום 19.12.2009, והנתבעת היא אחותו של המנוח ויורשתו היחידה על פי צוואתו מיום 23.10.2007, שקוימה ביום 17.11.16. </w:t>
      </w:r>
    </w:p>
    <w:p w:rsidR="005339E7" w:rsidRDefault="005339E7" w:rsidP="00641071">
      <w:pPr>
        <w:pStyle w:val="ad"/>
        <w:numPr>
          <w:ilvl w:val="0"/>
          <w:numId w:val="1"/>
        </w:numPr>
        <w:tabs>
          <w:tab w:val="left" w:pos="1134"/>
        </w:tabs>
        <w:spacing w:after="160" w:line="360" w:lineRule="auto"/>
        <w:ind w:left="708" w:hanging="498"/>
        <w:contextualSpacing w:val="0"/>
        <w:jc w:val="both"/>
        <w:rPr>
          <w:rFonts w:ascii="Arial" w:hAnsi="Arial"/>
          <w:noProof w:val="0"/>
        </w:rPr>
      </w:pPr>
      <w:r>
        <w:rPr>
          <w:rFonts w:ascii="Arial" w:hAnsi="Arial"/>
          <w:noProof w:val="0"/>
          <w:rtl/>
        </w:rPr>
        <w:lastRenderedPageBreak/>
        <w:t xml:space="preserve">על שם המנוח והתובעת הייתה רשומה דירה ברחוב </w:t>
      </w:r>
      <w:r w:rsidR="00641071">
        <w:rPr>
          <w:rFonts w:ascii="Arial" w:hAnsi="Arial"/>
          <w:noProof w:val="0"/>
        </w:rPr>
        <w:t>xxxx</w:t>
      </w:r>
      <w:r>
        <w:rPr>
          <w:rFonts w:ascii="Arial" w:hAnsi="Arial"/>
          <w:noProof w:val="0"/>
          <w:rtl/>
        </w:rPr>
        <w:t xml:space="preserve"> </w:t>
      </w:r>
      <w:r w:rsidR="00641071">
        <w:rPr>
          <w:rFonts w:ascii="Arial" w:hAnsi="Arial" w:hint="cs"/>
          <w:noProof w:val="0"/>
          <w:rtl/>
        </w:rPr>
        <w:t>ב</w:t>
      </w:r>
      <w:r w:rsidR="00641071" w:rsidRPr="00641071">
        <w:rPr>
          <w:rFonts w:ascii="Arial" w:hAnsi="Arial"/>
          <w:noProof w:val="0"/>
        </w:rPr>
        <w:t xml:space="preserve"> </w:t>
      </w:r>
      <w:r w:rsidR="00641071">
        <w:rPr>
          <w:rFonts w:ascii="Arial" w:hAnsi="Arial"/>
          <w:noProof w:val="0"/>
        </w:rPr>
        <w:t>xxxx</w:t>
      </w:r>
      <w:r>
        <w:rPr>
          <w:rFonts w:ascii="Arial" w:hAnsi="Arial"/>
          <w:noProof w:val="0"/>
          <w:rtl/>
        </w:rPr>
        <w:t xml:space="preserve"> (להלן: </w:t>
      </w:r>
      <w:r w:rsidR="008E7E9A">
        <w:rPr>
          <w:rFonts w:ascii="Arial" w:hAnsi="Arial" w:hint="cs"/>
          <w:noProof w:val="0"/>
          <w:rtl/>
        </w:rPr>
        <w:t xml:space="preserve">"הדירה" או </w:t>
      </w:r>
      <w:r>
        <w:rPr>
          <w:rFonts w:ascii="Arial" w:hAnsi="Arial"/>
          <w:noProof w:val="0"/>
          <w:rtl/>
        </w:rPr>
        <w:t>"הדירה</w:t>
      </w:r>
      <w:r w:rsidR="008E7E9A">
        <w:rPr>
          <w:rFonts w:ascii="Arial" w:hAnsi="Arial" w:hint="cs"/>
          <w:noProof w:val="0"/>
          <w:rtl/>
        </w:rPr>
        <w:t xml:space="preserve"> </w:t>
      </w:r>
      <w:r w:rsidR="00641071">
        <w:rPr>
          <w:rFonts w:ascii="Arial" w:hAnsi="Arial" w:hint="cs"/>
          <w:noProof w:val="0"/>
          <w:rtl/>
        </w:rPr>
        <w:t>ב</w:t>
      </w:r>
      <w:r w:rsidR="00641071">
        <w:rPr>
          <w:rFonts w:ascii="Arial" w:hAnsi="Arial"/>
          <w:noProof w:val="0"/>
        </w:rPr>
        <w:t>xxxx</w:t>
      </w:r>
      <w:r>
        <w:rPr>
          <w:rFonts w:ascii="Arial" w:hAnsi="Arial"/>
          <w:noProof w:val="0"/>
          <w:rtl/>
        </w:rPr>
        <w:t>"), בחלקים שווים.</w:t>
      </w:r>
    </w:p>
    <w:p w:rsidR="005339E7" w:rsidRDefault="005339E7" w:rsidP="00641071">
      <w:pPr>
        <w:pStyle w:val="ad"/>
        <w:numPr>
          <w:ilvl w:val="0"/>
          <w:numId w:val="1"/>
        </w:numPr>
        <w:tabs>
          <w:tab w:val="left" w:pos="1134"/>
        </w:tabs>
        <w:spacing w:after="160" w:line="360" w:lineRule="auto"/>
        <w:ind w:left="708" w:hanging="498"/>
        <w:contextualSpacing w:val="0"/>
        <w:jc w:val="both"/>
        <w:rPr>
          <w:rFonts w:ascii="Arial" w:hAnsi="Arial"/>
          <w:noProof w:val="0"/>
        </w:rPr>
      </w:pPr>
      <w:r>
        <w:rPr>
          <w:rFonts w:ascii="Arial" w:hAnsi="Arial"/>
          <w:noProof w:val="0"/>
          <w:rtl/>
        </w:rPr>
        <w:t xml:space="preserve">התובעת והמנוח התגרשו בשנת 2001, וחתמו על הסכם גירושין מיום 15.07.2001 שאושר ביום 06.09.2001 בבית המשפט לענייני משפחה </w:t>
      </w:r>
      <w:r w:rsidR="00641071">
        <w:rPr>
          <w:rFonts w:ascii="Arial" w:hAnsi="Arial" w:hint="cs"/>
          <w:noProof w:val="0"/>
          <w:rtl/>
        </w:rPr>
        <w:t>ב</w:t>
      </w:r>
      <w:r w:rsidR="00641071" w:rsidRPr="00641071">
        <w:rPr>
          <w:rFonts w:ascii="Arial" w:hAnsi="Arial"/>
          <w:noProof w:val="0"/>
        </w:rPr>
        <w:t xml:space="preserve"> </w:t>
      </w:r>
      <w:r w:rsidR="00641071">
        <w:rPr>
          <w:rFonts w:ascii="Arial" w:hAnsi="Arial"/>
          <w:noProof w:val="0"/>
        </w:rPr>
        <w:t>xxxx</w:t>
      </w:r>
      <w:r>
        <w:rPr>
          <w:rFonts w:ascii="Arial" w:hAnsi="Arial"/>
          <w:noProof w:val="0"/>
          <w:rtl/>
        </w:rPr>
        <w:t>(נספח א' לכתב התביעה- להלן: "הסכם הגירושין").</w:t>
      </w:r>
    </w:p>
    <w:p w:rsidR="005339E7" w:rsidRDefault="005339E7" w:rsidP="008B08AD">
      <w:pPr>
        <w:pStyle w:val="ad"/>
        <w:numPr>
          <w:ilvl w:val="0"/>
          <w:numId w:val="1"/>
        </w:numPr>
        <w:tabs>
          <w:tab w:val="left" w:pos="1134"/>
        </w:tabs>
        <w:spacing w:after="160" w:line="360" w:lineRule="auto"/>
        <w:ind w:left="708" w:hanging="498"/>
        <w:contextualSpacing w:val="0"/>
        <w:jc w:val="both"/>
        <w:rPr>
          <w:rFonts w:ascii="Arial" w:hAnsi="Arial"/>
          <w:noProof w:val="0"/>
          <w:rtl/>
        </w:rPr>
      </w:pPr>
      <w:r>
        <w:rPr>
          <w:rFonts w:ascii="Arial" w:hAnsi="Arial"/>
          <w:noProof w:val="0"/>
          <w:rtl/>
        </w:rPr>
        <w:t>בהסכם הגירושין הוסכם בין היתר, על מכירת הדירה המשותפת למרבה במחיר וחלוקת התמורה בחלקים שווים בין התובעת לבין המנוח, כאשר ניתנה לתובעת זכות סירוב ראשונה לרכישת חלקו של המנוח בדירה, על ידי עריכת איזון בכל הנוגע לכספי המנוח ושמחציתם שייכת לה (סעיף 4 להסכם).</w:t>
      </w:r>
    </w:p>
    <w:p w:rsidR="005339E7" w:rsidRDefault="005339E7" w:rsidP="008B08AD">
      <w:pPr>
        <w:pStyle w:val="ad"/>
        <w:numPr>
          <w:ilvl w:val="0"/>
          <w:numId w:val="1"/>
        </w:numPr>
        <w:tabs>
          <w:tab w:val="left" w:pos="1134"/>
        </w:tabs>
        <w:spacing w:after="160" w:line="360" w:lineRule="auto"/>
        <w:ind w:left="708" w:hanging="498"/>
        <w:contextualSpacing w:val="0"/>
        <w:jc w:val="both"/>
        <w:rPr>
          <w:rFonts w:ascii="Arial" w:hAnsi="Arial"/>
          <w:noProof w:val="0"/>
        </w:rPr>
      </w:pPr>
      <w:r>
        <w:rPr>
          <w:rFonts w:ascii="Arial" w:hAnsi="Arial"/>
          <w:noProof w:val="0"/>
          <w:rtl/>
        </w:rPr>
        <w:t>עוד הוסכם, כי כל הכספים שנצברו למנוח עד למועד הקרע ביום 04.04.2000 שייכים לצדדים בחלקים שווים, וכי הדירה תימכר רק לאחר לקבלת מלוא המידע בנוגע לכספים השייכים למנוח עד למועד הקרע, ולשם כך ניתן לתובעת יפוי כוח. כן הוסכם, כי מחצית משווי מכירת הרכב שהיה בבעלות המנוח תושב לתובעת (סעיף 6 להסכם).</w:t>
      </w:r>
    </w:p>
    <w:p w:rsidR="005339E7" w:rsidRDefault="005339E7" w:rsidP="008B08AD">
      <w:pPr>
        <w:pStyle w:val="ad"/>
        <w:numPr>
          <w:ilvl w:val="0"/>
          <w:numId w:val="1"/>
        </w:numPr>
        <w:tabs>
          <w:tab w:val="left" w:pos="1134"/>
        </w:tabs>
        <w:spacing w:after="160" w:line="360" w:lineRule="auto"/>
        <w:ind w:left="708" w:hanging="498"/>
        <w:contextualSpacing w:val="0"/>
        <w:jc w:val="both"/>
        <w:rPr>
          <w:rFonts w:ascii="Arial" w:hAnsi="Arial"/>
          <w:noProof w:val="0"/>
          <w:rtl/>
        </w:rPr>
      </w:pPr>
      <w:r>
        <w:rPr>
          <w:rFonts w:ascii="Arial" w:hAnsi="Arial"/>
          <w:noProof w:val="0"/>
          <w:rtl/>
        </w:rPr>
        <w:t xml:space="preserve">הליכי מכירת הדירה, לרבות גילוי המידע בנוגע לכספי המנוח והעברת מחציתם אל התובעת, כמו גם יתר הוראות ההסכם, לא בוצעו בפועל </w:t>
      </w:r>
      <w:r w:rsidR="00B671D6">
        <w:rPr>
          <w:rFonts w:ascii="Arial" w:hAnsi="Arial" w:hint="cs"/>
          <w:noProof w:val="0"/>
          <w:rtl/>
        </w:rPr>
        <w:t>במשך כל השנים, עד לאחר שנפטר המנוח ו</w:t>
      </w:r>
      <w:r w:rsidR="00AC6BB2">
        <w:rPr>
          <w:rFonts w:ascii="Arial" w:hAnsi="Arial" w:hint="cs"/>
          <w:noProof w:val="0"/>
          <w:rtl/>
        </w:rPr>
        <w:t xml:space="preserve">רק </w:t>
      </w:r>
      <w:r w:rsidR="00B671D6">
        <w:rPr>
          <w:rFonts w:ascii="Arial" w:hAnsi="Arial" w:hint="cs"/>
          <w:noProof w:val="0"/>
          <w:rtl/>
        </w:rPr>
        <w:t>אז החלה התובעת לפעול למימוש זכויותיה</w:t>
      </w:r>
      <w:r>
        <w:rPr>
          <w:rFonts w:ascii="Arial" w:hAnsi="Arial"/>
          <w:noProof w:val="0"/>
          <w:rtl/>
        </w:rPr>
        <w:t>.</w:t>
      </w:r>
    </w:p>
    <w:p w:rsidR="005339E7" w:rsidRDefault="005339E7" w:rsidP="00AC6BB2">
      <w:pPr>
        <w:pStyle w:val="ad"/>
        <w:numPr>
          <w:ilvl w:val="0"/>
          <w:numId w:val="1"/>
        </w:numPr>
        <w:tabs>
          <w:tab w:val="left" w:pos="1134"/>
        </w:tabs>
        <w:spacing w:after="160" w:line="360" w:lineRule="auto"/>
        <w:ind w:left="708" w:hanging="498"/>
        <w:contextualSpacing w:val="0"/>
        <w:jc w:val="both"/>
        <w:rPr>
          <w:rFonts w:ascii="Arial" w:hAnsi="Arial"/>
          <w:noProof w:val="0"/>
        </w:rPr>
      </w:pPr>
      <w:r>
        <w:rPr>
          <w:rFonts w:ascii="Arial" w:hAnsi="Arial"/>
          <w:noProof w:val="0"/>
          <w:rtl/>
        </w:rPr>
        <w:t>ביום 23.10.2007 המנוח ערך צוואה, בה ציווה את כל רכושו, נכסיו, זכויותיו וכספיו לאחותו הנתבעת. המנוח הדיר מצוואתו את ילדיו, מאחר שאין ביניהם קשר והם אף שינו את שם משפחתם לאחר גירושי הוריהם.</w:t>
      </w:r>
    </w:p>
    <w:p w:rsidR="005339E7" w:rsidRDefault="005339E7" w:rsidP="008B08AD">
      <w:pPr>
        <w:pStyle w:val="ad"/>
        <w:numPr>
          <w:ilvl w:val="0"/>
          <w:numId w:val="1"/>
        </w:numPr>
        <w:tabs>
          <w:tab w:val="left" w:pos="1134"/>
        </w:tabs>
        <w:spacing w:after="160" w:line="360" w:lineRule="auto"/>
        <w:ind w:left="708" w:hanging="498"/>
        <w:contextualSpacing w:val="0"/>
        <w:jc w:val="both"/>
        <w:rPr>
          <w:rFonts w:ascii="Arial" w:hAnsi="Arial"/>
          <w:noProof w:val="0"/>
        </w:rPr>
      </w:pPr>
      <w:r>
        <w:rPr>
          <w:rFonts w:ascii="Arial" w:hAnsi="Arial"/>
          <w:noProof w:val="0"/>
          <w:rtl/>
        </w:rPr>
        <w:t>משנת 2011 ועד שנת שלהי 2016 התנהלו הליכים בעניין עזבון המנוח בפני סגה"נ כב' השופטת חגית מטלין. התובעת וילדיה התנגדו לקיום הצוואה והגישו בקשה למתן צו ירושה. בסופו של דבר, ביום 17.11.16 ניתן פסק דין בן 35 עמודים ובו נדחתה התנגדות התובעת וילדיה וניתן צו לקיום צוואת המנוח.</w:t>
      </w:r>
    </w:p>
    <w:p w:rsidR="005339E7" w:rsidRDefault="005339E7" w:rsidP="008B08AD">
      <w:pPr>
        <w:pStyle w:val="ad"/>
        <w:numPr>
          <w:ilvl w:val="0"/>
          <w:numId w:val="1"/>
        </w:numPr>
        <w:tabs>
          <w:tab w:val="left" w:pos="1134"/>
        </w:tabs>
        <w:spacing w:after="160" w:line="360" w:lineRule="auto"/>
        <w:ind w:left="708" w:hanging="498"/>
        <w:contextualSpacing w:val="0"/>
        <w:jc w:val="both"/>
        <w:rPr>
          <w:rFonts w:ascii="Arial" w:hAnsi="Arial"/>
          <w:noProof w:val="0"/>
        </w:rPr>
      </w:pPr>
      <w:r>
        <w:rPr>
          <w:rFonts w:ascii="Arial" w:hAnsi="Arial"/>
          <w:noProof w:val="0"/>
          <w:rtl/>
        </w:rPr>
        <w:t>בעקבות צו קיום הצוואה, זכויות המנוח בדירה הועברו ונרשמו על שמה של הנתבעת ביום 24.01.17. מאז ונכון להיום, מחצית מהדירה רשומה על שם התובעת והמחצית השנייה רשומה על שם הנתבעת (נספח 6 לכתב ההגנה).</w:t>
      </w:r>
    </w:p>
    <w:p w:rsidR="005339E7" w:rsidRDefault="005339E7" w:rsidP="008B08AD">
      <w:pPr>
        <w:pStyle w:val="ad"/>
        <w:numPr>
          <w:ilvl w:val="0"/>
          <w:numId w:val="1"/>
        </w:numPr>
        <w:tabs>
          <w:tab w:val="left" w:pos="1134"/>
        </w:tabs>
        <w:spacing w:after="160" w:line="360" w:lineRule="auto"/>
        <w:ind w:left="708" w:hanging="498"/>
        <w:contextualSpacing w:val="0"/>
        <w:jc w:val="both"/>
        <w:rPr>
          <w:rFonts w:ascii="Arial" w:hAnsi="Arial"/>
          <w:noProof w:val="0"/>
        </w:rPr>
      </w:pPr>
      <w:r>
        <w:rPr>
          <w:rFonts w:ascii="Arial" w:hAnsi="Arial"/>
          <w:noProof w:val="0"/>
          <w:rtl/>
        </w:rPr>
        <w:t>התובעת עותרת לפסק דין הצהרתי שיקבע כי הדירה אשר המנוח ציווה בה את חלקו לנתבעת (להלן: "מחצית הדירה"), מלכתחילה לא היתה חלק מעיזבון המנוח שכן, למנוח לא היו זכויות בה, ומכוח האמור תירשם הדירה במלואה על שם התובעת.</w:t>
      </w:r>
    </w:p>
    <w:p w:rsidR="005339E7" w:rsidRDefault="005339E7" w:rsidP="00641071">
      <w:pPr>
        <w:pStyle w:val="ad"/>
        <w:numPr>
          <w:ilvl w:val="0"/>
          <w:numId w:val="1"/>
        </w:numPr>
        <w:tabs>
          <w:tab w:val="left" w:pos="1134"/>
        </w:tabs>
        <w:spacing w:after="160" w:line="360" w:lineRule="auto"/>
        <w:ind w:left="708" w:hanging="498"/>
        <w:contextualSpacing w:val="0"/>
        <w:jc w:val="both"/>
        <w:rPr>
          <w:rFonts w:ascii="Arial" w:hAnsi="Arial"/>
          <w:noProof w:val="0"/>
          <w:rtl/>
        </w:rPr>
      </w:pPr>
      <w:r>
        <w:rPr>
          <w:rFonts w:ascii="Arial" w:hAnsi="Arial"/>
          <w:noProof w:val="0"/>
          <w:rtl/>
        </w:rPr>
        <w:lastRenderedPageBreak/>
        <w:t>כאן המקום לומר, כי הצדדים מוכרים לבית המשפט והפלוגתה לעניין הדירה ב</w:t>
      </w:r>
      <w:r w:rsidR="00641071" w:rsidRPr="00641071">
        <w:rPr>
          <w:rFonts w:ascii="Arial" w:hAnsi="Arial"/>
          <w:noProof w:val="0"/>
        </w:rPr>
        <w:t xml:space="preserve"> </w:t>
      </w:r>
      <w:r w:rsidR="00641071">
        <w:rPr>
          <w:rFonts w:ascii="Arial" w:hAnsi="Arial"/>
          <w:noProof w:val="0"/>
        </w:rPr>
        <w:t>xxxx</w:t>
      </w:r>
      <w:r>
        <w:rPr>
          <w:rFonts w:ascii="Arial" w:hAnsi="Arial"/>
          <w:noProof w:val="0"/>
          <w:rtl/>
        </w:rPr>
        <w:t>נידונה בתמ"ש 27852-05-17, בו ניתן פסק דין ביום 18.06.2020 בתביעה לדמי שימוש שהגישה הנתבעת בהליך זה, כנגד התובעת וילדיה (להלן: התביעה לדמי שימוש").</w:t>
      </w:r>
    </w:p>
    <w:p w:rsidR="005339E7" w:rsidRDefault="005339E7" w:rsidP="008B08AD">
      <w:pPr>
        <w:pStyle w:val="ad"/>
        <w:numPr>
          <w:ilvl w:val="0"/>
          <w:numId w:val="1"/>
        </w:numPr>
        <w:tabs>
          <w:tab w:val="left" w:pos="1134"/>
        </w:tabs>
        <w:spacing w:after="160" w:line="360" w:lineRule="auto"/>
        <w:ind w:left="708" w:hanging="498"/>
        <w:contextualSpacing w:val="0"/>
        <w:jc w:val="both"/>
        <w:rPr>
          <w:rFonts w:ascii="Arial" w:hAnsi="Arial"/>
          <w:noProof w:val="0"/>
        </w:rPr>
      </w:pPr>
      <w:r>
        <w:rPr>
          <w:rFonts w:ascii="Arial" w:hAnsi="Arial"/>
          <w:noProof w:val="0"/>
          <w:rtl/>
        </w:rPr>
        <w:t xml:space="preserve">על פסק הדין הוגשו ערעורים הדדיים על ידי שני הצדדים לבית המשפט המחוזי. לאחר דיון שהתקיים בבית המשפט המחוזי ביום 22.11.20, ניתן פסק דין ביום 30.11.20 ובו הערעורים נמחקו בהסכמת הצדדים. </w:t>
      </w:r>
    </w:p>
    <w:p w:rsidR="005339E7" w:rsidRDefault="005339E7" w:rsidP="008B08AD">
      <w:pPr>
        <w:pStyle w:val="ad"/>
        <w:numPr>
          <w:ilvl w:val="0"/>
          <w:numId w:val="1"/>
        </w:numPr>
        <w:tabs>
          <w:tab w:val="left" w:pos="1134"/>
        </w:tabs>
        <w:spacing w:after="160" w:line="360" w:lineRule="auto"/>
        <w:ind w:left="708" w:hanging="498"/>
        <w:contextualSpacing w:val="0"/>
        <w:jc w:val="both"/>
        <w:rPr>
          <w:rFonts w:ascii="Arial" w:hAnsi="Arial"/>
          <w:noProof w:val="0"/>
        </w:rPr>
      </w:pPr>
      <w:r>
        <w:rPr>
          <w:rFonts w:ascii="Arial" w:hAnsi="Arial"/>
          <w:noProof w:val="0"/>
          <w:rtl/>
        </w:rPr>
        <w:t xml:space="preserve">יצוין כי לטענת ב"כ התובעת, בית המשפט המחוזי המליץ לצדדים למחוק את הערעורים ולשוב לבית משפט זה לדון בתביעה. מכל מקום, מלוחות הזמנים עולה כי התביעה שבכותרת הוגשה ביום 29.10.20, קרי- עוד לפני הדיון שהתקיים בבית המשפט המחוזי. </w:t>
      </w:r>
    </w:p>
    <w:p w:rsidR="005339E7" w:rsidRDefault="005339E7" w:rsidP="008B08AD">
      <w:pPr>
        <w:pStyle w:val="ad"/>
        <w:numPr>
          <w:ilvl w:val="0"/>
          <w:numId w:val="1"/>
        </w:numPr>
        <w:tabs>
          <w:tab w:val="left" w:pos="1134"/>
        </w:tabs>
        <w:spacing w:after="160" w:line="360" w:lineRule="auto"/>
        <w:ind w:left="708" w:hanging="498"/>
        <w:contextualSpacing w:val="0"/>
        <w:jc w:val="both"/>
        <w:rPr>
          <w:rFonts w:ascii="Arial" w:hAnsi="Arial"/>
          <w:noProof w:val="0"/>
        </w:rPr>
      </w:pPr>
      <w:r>
        <w:rPr>
          <w:rFonts w:ascii="Arial" w:hAnsi="Arial"/>
          <w:noProof w:val="0"/>
          <w:rtl/>
        </w:rPr>
        <w:t xml:space="preserve">ביום 17.11.21 לאחר קיום קדם המשפט הראשון בהליך הנוכחי, בית המשפט נעתר לבקשת התובעת על מנת שלא לנעול את שערי בית המשפט בפניה, וניתנו הוראות לשמיעת ראיות בעניין הספציפי של הדירה, וכן נקבעו מועדים להגשת תיקי מוצגים. </w:t>
      </w:r>
    </w:p>
    <w:p w:rsidR="005339E7" w:rsidRDefault="005339E7" w:rsidP="008B08AD">
      <w:pPr>
        <w:pStyle w:val="ad"/>
        <w:numPr>
          <w:ilvl w:val="0"/>
          <w:numId w:val="1"/>
        </w:numPr>
        <w:tabs>
          <w:tab w:val="left" w:pos="1134"/>
        </w:tabs>
        <w:spacing w:after="160" w:line="360" w:lineRule="auto"/>
        <w:ind w:left="708" w:hanging="498"/>
        <w:contextualSpacing w:val="0"/>
        <w:jc w:val="both"/>
        <w:rPr>
          <w:rFonts w:ascii="Arial" w:hAnsi="Arial"/>
          <w:noProof w:val="0"/>
        </w:rPr>
      </w:pPr>
      <w:r>
        <w:rPr>
          <w:rFonts w:ascii="Arial" w:hAnsi="Arial"/>
          <w:noProof w:val="0"/>
          <w:rtl/>
        </w:rPr>
        <w:t>הנתבעת הגישה תיק מוצגים, ואילו התובעת נמנעה מלהגיש תיק מוצגים מטעמה להוכחת עילת תביעתה, בניגוד להחלטת בית המשפט, אלא בחרה להגיש בקשה למתן צו לגילוי מסמכים בעניין נכסיו הכספיים של המנוח, קרי- בקשה למתן חשבונות, שהיא הסעד המבוקש בתביעה העיקרית</w:t>
      </w:r>
      <w:r w:rsidR="00303B03">
        <w:rPr>
          <w:rFonts w:ascii="Arial" w:hAnsi="Arial" w:hint="cs"/>
          <w:noProof w:val="0"/>
          <w:rtl/>
        </w:rPr>
        <w:t>.</w:t>
      </w:r>
      <w:r>
        <w:rPr>
          <w:rFonts w:ascii="Arial" w:hAnsi="Arial"/>
          <w:noProof w:val="0"/>
          <w:rtl/>
        </w:rPr>
        <w:t xml:space="preserve"> </w:t>
      </w:r>
    </w:p>
    <w:p w:rsidR="005339E7" w:rsidRDefault="005339E7" w:rsidP="00303B03">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 xml:space="preserve">דיון ההוכחות התקיים ביום 29.09.22 בו נחקרו הצדדים, וכן בנה של התובעת. עדויות הצדדים נסמכו וחזרו על אותה מסכת עובדתית שנידונה בתביעה לדמי שימוש והטיעונים שם. </w:t>
      </w:r>
    </w:p>
    <w:p w:rsidR="005339E7" w:rsidRDefault="005339E7" w:rsidP="008B08AD">
      <w:pPr>
        <w:pStyle w:val="ad"/>
        <w:numPr>
          <w:ilvl w:val="0"/>
          <w:numId w:val="1"/>
        </w:numPr>
        <w:tabs>
          <w:tab w:val="left" w:pos="1134"/>
        </w:tabs>
        <w:spacing w:after="160" w:line="360" w:lineRule="auto"/>
        <w:ind w:left="708" w:hanging="498"/>
        <w:contextualSpacing w:val="0"/>
        <w:jc w:val="both"/>
        <w:rPr>
          <w:rFonts w:ascii="Arial" w:hAnsi="Arial"/>
          <w:noProof w:val="0"/>
        </w:rPr>
      </w:pPr>
      <w:r>
        <w:rPr>
          <w:rFonts w:ascii="Arial" w:hAnsi="Arial"/>
          <w:noProof w:val="0"/>
          <w:rtl/>
        </w:rPr>
        <w:t xml:space="preserve">ניסיונות בית המשפט להביא את הצדדים להסכמות העלו חרס. בתום הדיון בית המשפט נעתר לבקשת ב"כ התובעת להגיש סיכומים בנוגע לשאלה האם תביעה הצהרתית יכולה לכלול בתוכה אף תביעה למתן חשבונות מבלי להגיש תביעה נפרדת. הצדדים הגישו סיכומיהם, האחרון הוגש ביום 15.12.22. יצוין כי חרף בקשת התובעת, בסיכומים הועלו טענות גם לגופו של הליך (ראו סעיפים 5-2), וכך גם בסיכומי הנתבעת (סעיף 2 ואילך). </w:t>
      </w:r>
    </w:p>
    <w:p w:rsidR="00953F6C" w:rsidRDefault="00953F6C" w:rsidP="00953F6C">
      <w:pPr>
        <w:spacing w:after="160" w:line="360" w:lineRule="auto"/>
        <w:contextualSpacing/>
        <w:jc w:val="both"/>
        <w:rPr>
          <w:rFonts w:ascii="Arial" w:hAnsi="Arial"/>
          <w:b/>
          <w:bCs/>
          <w:noProof w:val="0"/>
          <w:u w:val="single"/>
          <w:rtl/>
        </w:rPr>
      </w:pPr>
    </w:p>
    <w:p w:rsidR="005339E7" w:rsidRDefault="005339E7" w:rsidP="005339E7">
      <w:pPr>
        <w:spacing w:after="160" w:line="360" w:lineRule="auto"/>
        <w:jc w:val="both"/>
        <w:rPr>
          <w:rFonts w:ascii="Arial" w:hAnsi="Arial"/>
          <w:b/>
          <w:bCs/>
          <w:noProof w:val="0"/>
          <w:u w:val="single"/>
          <w:rtl/>
        </w:rPr>
      </w:pPr>
      <w:r>
        <w:rPr>
          <w:rFonts w:ascii="Arial" w:hAnsi="Arial"/>
          <w:b/>
          <w:bCs/>
          <w:noProof w:val="0"/>
          <w:u w:val="single"/>
          <w:rtl/>
        </w:rPr>
        <w:t>תביעה הכוללת סעד הצהרתי וסעד של מתן חשבונות</w:t>
      </w:r>
    </w:p>
    <w:p w:rsidR="005339E7" w:rsidRDefault="005339E7" w:rsidP="005339E7">
      <w:pPr>
        <w:spacing w:line="360" w:lineRule="auto"/>
        <w:jc w:val="both"/>
        <w:rPr>
          <w:rFonts w:ascii="Arial" w:hAnsi="Arial"/>
          <w:b/>
          <w:bCs/>
          <w:noProof w:val="0"/>
          <w:rtl/>
        </w:rPr>
      </w:pPr>
      <w:r>
        <w:rPr>
          <w:rFonts w:ascii="Arial" w:hAnsi="Arial"/>
          <w:b/>
          <w:bCs/>
          <w:noProof w:val="0"/>
          <w:rtl/>
        </w:rPr>
        <w:t>תמצית טענות התובעת</w:t>
      </w:r>
    </w:p>
    <w:p w:rsidR="005339E7" w:rsidRDefault="005339E7" w:rsidP="00641071">
      <w:pPr>
        <w:pStyle w:val="ad"/>
        <w:numPr>
          <w:ilvl w:val="0"/>
          <w:numId w:val="1"/>
        </w:numPr>
        <w:tabs>
          <w:tab w:val="left" w:pos="1134"/>
        </w:tabs>
        <w:spacing w:after="160" w:line="360" w:lineRule="auto"/>
        <w:ind w:left="708" w:hanging="498"/>
        <w:contextualSpacing w:val="0"/>
        <w:jc w:val="both"/>
        <w:rPr>
          <w:rFonts w:ascii="Arial" w:hAnsi="Arial"/>
          <w:noProof w:val="0"/>
          <w:rtl/>
        </w:rPr>
      </w:pPr>
      <w:r>
        <w:rPr>
          <w:rFonts w:ascii="Arial" w:hAnsi="Arial"/>
          <w:noProof w:val="0"/>
          <w:rtl/>
        </w:rPr>
        <w:t>התביעה הוגשה למתן סעד הצהרתי בעניין הדירה ב</w:t>
      </w:r>
      <w:r w:rsidR="00641071" w:rsidRPr="00641071">
        <w:rPr>
          <w:rFonts w:ascii="Arial" w:hAnsi="Arial"/>
          <w:noProof w:val="0"/>
        </w:rPr>
        <w:t xml:space="preserve"> </w:t>
      </w:r>
      <w:r w:rsidR="00641071">
        <w:rPr>
          <w:rFonts w:ascii="Arial" w:hAnsi="Arial"/>
          <w:noProof w:val="0"/>
        </w:rPr>
        <w:t>xxxx</w:t>
      </w:r>
      <w:r>
        <w:rPr>
          <w:rFonts w:ascii="Arial" w:hAnsi="Arial"/>
          <w:noProof w:val="0"/>
          <w:rtl/>
        </w:rPr>
        <w:t>והב</w:t>
      </w:r>
      <w:r w:rsidR="00715F3D">
        <w:rPr>
          <w:rFonts w:ascii="Arial" w:hAnsi="Arial" w:hint="cs"/>
          <w:noProof w:val="0"/>
          <w:rtl/>
        </w:rPr>
        <w:t>ע</w:t>
      </w:r>
      <w:r>
        <w:rPr>
          <w:rFonts w:ascii="Arial" w:hAnsi="Arial"/>
          <w:noProof w:val="0"/>
          <w:rtl/>
        </w:rPr>
        <w:t xml:space="preserve">לות בה, אולם נוכח הצורך בקבלת מסמכים לשם הוכחת הסעד המבוקש, הוגש במסגרת התביעה </w:t>
      </w:r>
      <w:r w:rsidR="0001588A">
        <w:rPr>
          <w:rFonts w:ascii="Arial" w:hAnsi="Arial" w:hint="cs"/>
          <w:noProof w:val="0"/>
          <w:rtl/>
        </w:rPr>
        <w:t xml:space="preserve">גם </w:t>
      </w:r>
      <w:r>
        <w:rPr>
          <w:rFonts w:ascii="Arial" w:hAnsi="Arial"/>
          <w:noProof w:val="0"/>
          <w:rtl/>
        </w:rPr>
        <w:t>סעד למתן חשבונות.</w:t>
      </w:r>
    </w:p>
    <w:p w:rsidR="005339E7" w:rsidRDefault="005339E7" w:rsidP="008B08AD">
      <w:pPr>
        <w:pStyle w:val="ad"/>
        <w:numPr>
          <w:ilvl w:val="0"/>
          <w:numId w:val="1"/>
        </w:numPr>
        <w:tabs>
          <w:tab w:val="left" w:pos="1134"/>
        </w:tabs>
        <w:spacing w:after="160" w:line="360" w:lineRule="auto"/>
        <w:ind w:left="708" w:hanging="498"/>
        <w:contextualSpacing w:val="0"/>
        <w:jc w:val="both"/>
        <w:rPr>
          <w:rFonts w:ascii="Arial" w:hAnsi="Arial"/>
          <w:noProof w:val="0"/>
        </w:rPr>
      </w:pPr>
      <w:r>
        <w:rPr>
          <w:rFonts w:ascii="Arial" w:hAnsi="Arial"/>
          <w:noProof w:val="0"/>
          <w:rtl/>
        </w:rPr>
        <w:lastRenderedPageBreak/>
        <w:t>התובעת עותרת לסעד של מתן חשבונות מהנתבעת אודות כלל נכסי המנוח וכספיו, שהצטברו עד ליום 04.04.2000 בשל זכותה מכוח הסכם הגירושין משנת 2001, וכן פירוט כספי המנוח שנגבו על ידי הנתבעת מכוח הצוואה. לטענתה זכותה לקבלת חשב</w:t>
      </w:r>
      <w:r w:rsidR="0012278F">
        <w:rPr>
          <w:rFonts w:ascii="Arial" w:hAnsi="Arial" w:hint="cs"/>
          <w:noProof w:val="0"/>
          <w:rtl/>
        </w:rPr>
        <w:t>ו</w:t>
      </w:r>
      <w:r>
        <w:rPr>
          <w:rFonts w:ascii="Arial" w:hAnsi="Arial"/>
          <w:noProof w:val="0"/>
          <w:rtl/>
        </w:rPr>
        <w:t>נות קופחה.</w:t>
      </w:r>
    </w:p>
    <w:p w:rsidR="005339E7" w:rsidRDefault="005339E7" w:rsidP="008B08AD">
      <w:pPr>
        <w:pStyle w:val="ad"/>
        <w:numPr>
          <w:ilvl w:val="0"/>
          <w:numId w:val="1"/>
        </w:numPr>
        <w:tabs>
          <w:tab w:val="left" w:pos="1134"/>
        </w:tabs>
        <w:spacing w:after="160" w:line="360" w:lineRule="auto"/>
        <w:ind w:left="708" w:hanging="498"/>
        <w:contextualSpacing w:val="0"/>
        <w:jc w:val="both"/>
        <w:rPr>
          <w:rFonts w:ascii="Arial" w:hAnsi="Arial"/>
          <w:noProof w:val="0"/>
        </w:rPr>
      </w:pPr>
      <w:r>
        <w:rPr>
          <w:rFonts w:ascii="Arial" w:hAnsi="Arial"/>
          <w:noProof w:val="0"/>
          <w:rtl/>
        </w:rPr>
        <w:t xml:space="preserve">התובעת מפנה לפסיקה לפיה לטענתה זכאית היא לעתור למתן חשבונות על מנת לבסס את הסעד ההצהרתי בעניין </w:t>
      </w:r>
      <w:r w:rsidR="00C67EA8">
        <w:rPr>
          <w:rFonts w:ascii="Arial" w:hAnsi="Arial" w:hint="cs"/>
          <w:noProof w:val="0"/>
          <w:rtl/>
        </w:rPr>
        <w:t>הזכויות</w:t>
      </w:r>
      <w:r>
        <w:rPr>
          <w:rFonts w:ascii="Arial" w:hAnsi="Arial"/>
          <w:noProof w:val="0"/>
          <w:rtl/>
        </w:rPr>
        <w:t xml:space="preserve"> הדירה, נוכח זכותה של התובעת לקבלת מסמכים אלו בהתאם להסכם הגירושין כאמור.</w:t>
      </w:r>
    </w:p>
    <w:p w:rsidR="005339E7" w:rsidRDefault="005339E7" w:rsidP="00F4446B">
      <w:pPr>
        <w:pStyle w:val="ad"/>
        <w:spacing w:after="120" w:line="360" w:lineRule="auto"/>
        <w:jc w:val="both"/>
        <w:rPr>
          <w:rFonts w:ascii="Arial" w:hAnsi="Arial"/>
          <w:noProof w:val="0"/>
        </w:rPr>
      </w:pPr>
    </w:p>
    <w:p w:rsidR="005339E7" w:rsidRDefault="005339E7" w:rsidP="005339E7">
      <w:pPr>
        <w:spacing w:line="360" w:lineRule="auto"/>
        <w:jc w:val="both"/>
        <w:rPr>
          <w:rFonts w:ascii="Arial" w:hAnsi="Arial"/>
          <w:b/>
          <w:bCs/>
          <w:noProof w:val="0"/>
        </w:rPr>
      </w:pPr>
      <w:r>
        <w:rPr>
          <w:rFonts w:ascii="Arial" w:hAnsi="Arial"/>
          <w:b/>
          <w:bCs/>
          <w:noProof w:val="0"/>
          <w:rtl/>
        </w:rPr>
        <w:t>תמצית טענות הנתבעת</w:t>
      </w:r>
    </w:p>
    <w:p w:rsidR="005339E7" w:rsidRDefault="005339E7" w:rsidP="008B08AD">
      <w:pPr>
        <w:pStyle w:val="ad"/>
        <w:numPr>
          <w:ilvl w:val="0"/>
          <w:numId w:val="1"/>
        </w:numPr>
        <w:tabs>
          <w:tab w:val="left" w:pos="1134"/>
        </w:tabs>
        <w:spacing w:after="160" w:line="360" w:lineRule="auto"/>
        <w:ind w:left="708" w:hanging="498"/>
        <w:contextualSpacing w:val="0"/>
        <w:jc w:val="both"/>
        <w:rPr>
          <w:rFonts w:ascii="Arial" w:hAnsi="Arial"/>
          <w:noProof w:val="0"/>
          <w:rtl/>
        </w:rPr>
      </w:pPr>
      <w:r>
        <w:rPr>
          <w:rFonts w:ascii="Arial" w:hAnsi="Arial"/>
          <w:noProof w:val="0"/>
          <w:rtl/>
        </w:rPr>
        <w:t>מדובר בתביעה הצהרתית בלבד, כפי שמצוין בכותרת. לא קיימת תביעה למתן חשבונות, לא ביחד ולא בנפרד מהתביעה ההצהרתית, וממילא אין קשר בין השניים. התובעת לא קיימה את הוראות הדין לפיהן יש לכלול בכותרת התביעה את רשימת כל הסעדים המבוקשים. בכך, התובעת השחילה בכתב התביעה סעד נוסף ומנוגד לתביעה העיקרית.</w:t>
      </w:r>
    </w:p>
    <w:p w:rsidR="005339E7" w:rsidRDefault="005339E7" w:rsidP="008B08AD">
      <w:pPr>
        <w:pStyle w:val="ad"/>
        <w:numPr>
          <w:ilvl w:val="0"/>
          <w:numId w:val="1"/>
        </w:numPr>
        <w:tabs>
          <w:tab w:val="left" w:pos="1134"/>
        </w:tabs>
        <w:spacing w:after="160" w:line="360" w:lineRule="auto"/>
        <w:ind w:left="708" w:hanging="498"/>
        <w:contextualSpacing w:val="0"/>
        <w:jc w:val="both"/>
        <w:rPr>
          <w:rFonts w:ascii="Arial" w:hAnsi="Arial"/>
          <w:noProof w:val="0"/>
        </w:rPr>
      </w:pPr>
      <w:r>
        <w:rPr>
          <w:rFonts w:ascii="Arial" w:hAnsi="Arial"/>
          <w:noProof w:val="0"/>
          <w:rtl/>
        </w:rPr>
        <w:t xml:space="preserve">התובעת מנסה לאחוז את החבל בשני קצותיו. מצד אחד, היא עותרת לפסק דין הצהרתי בעניין זכויות הדירה, וזאת מכוח הסכם מאוחר בין התובעת לבין המנוח, לפיו התובעת תיוותר עם </w:t>
      </w:r>
      <w:r w:rsidR="00201711">
        <w:rPr>
          <w:rFonts w:ascii="Arial" w:hAnsi="Arial" w:hint="cs"/>
          <w:noProof w:val="0"/>
          <w:rtl/>
        </w:rPr>
        <w:t xml:space="preserve">מלוא </w:t>
      </w:r>
      <w:r>
        <w:rPr>
          <w:rFonts w:ascii="Arial" w:hAnsi="Arial"/>
          <w:noProof w:val="0"/>
          <w:rtl/>
        </w:rPr>
        <w:t xml:space="preserve">הזכויות בדירה </w:t>
      </w:r>
      <w:r w:rsidR="00201711">
        <w:rPr>
          <w:rFonts w:ascii="Arial" w:hAnsi="Arial" w:hint="cs"/>
          <w:noProof w:val="0"/>
          <w:rtl/>
        </w:rPr>
        <w:t>כנגד ויתור</w:t>
      </w:r>
      <w:r>
        <w:rPr>
          <w:rFonts w:ascii="Arial" w:hAnsi="Arial"/>
          <w:noProof w:val="0"/>
          <w:rtl/>
        </w:rPr>
        <w:t xml:space="preserve"> על חלקה בכספי המנוח. מצד שני, היא טוענת כי מגיעים לה כספים מהמנוח בהתאם להסכם הגירושין.</w:t>
      </w:r>
    </w:p>
    <w:p w:rsidR="005339E7" w:rsidRDefault="005339E7" w:rsidP="00F4446B">
      <w:pPr>
        <w:spacing w:after="120" w:line="360" w:lineRule="auto"/>
        <w:contextualSpacing/>
        <w:jc w:val="both"/>
        <w:rPr>
          <w:rFonts w:ascii="Arial" w:hAnsi="Arial"/>
          <w:noProof w:val="0"/>
        </w:rPr>
      </w:pPr>
    </w:p>
    <w:p w:rsidR="005339E7" w:rsidRPr="00CF2B04" w:rsidRDefault="005339E7" w:rsidP="005339E7">
      <w:pPr>
        <w:spacing w:after="120" w:line="360" w:lineRule="auto"/>
        <w:jc w:val="both"/>
        <w:rPr>
          <w:rFonts w:ascii="Arial" w:hAnsi="Arial"/>
          <w:b/>
          <w:bCs/>
          <w:noProof w:val="0"/>
          <w:rtl/>
        </w:rPr>
      </w:pPr>
      <w:r w:rsidRPr="00CF2B04">
        <w:rPr>
          <w:rFonts w:ascii="Arial" w:hAnsi="Arial"/>
          <w:b/>
          <w:bCs/>
          <w:noProof w:val="0"/>
          <w:rtl/>
        </w:rPr>
        <w:t>דיון והכרעה</w:t>
      </w:r>
      <w:r w:rsidR="00CF2B04">
        <w:rPr>
          <w:rFonts w:ascii="Arial" w:hAnsi="Arial" w:hint="cs"/>
          <w:b/>
          <w:bCs/>
          <w:noProof w:val="0"/>
          <w:rtl/>
        </w:rPr>
        <w:t xml:space="preserve"> </w:t>
      </w:r>
      <w:r w:rsidR="00343E54">
        <w:rPr>
          <w:rFonts w:ascii="Arial" w:hAnsi="Arial"/>
          <w:b/>
          <w:bCs/>
          <w:noProof w:val="0"/>
          <w:rtl/>
        </w:rPr>
        <w:t>–</w:t>
      </w:r>
      <w:r w:rsidR="00CF2B04">
        <w:rPr>
          <w:rFonts w:ascii="Arial" w:hAnsi="Arial" w:hint="cs"/>
          <w:b/>
          <w:bCs/>
          <w:noProof w:val="0"/>
          <w:rtl/>
        </w:rPr>
        <w:t xml:space="preserve"> איחוד</w:t>
      </w:r>
      <w:r w:rsidR="00343E54">
        <w:rPr>
          <w:rFonts w:ascii="Arial" w:hAnsi="Arial" w:hint="cs"/>
          <w:b/>
          <w:bCs/>
          <w:noProof w:val="0"/>
          <w:rtl/>
        </w:rPr>
        <w:t xml:space="preserve"> הסעדים</w:t>
      </w:r>
    </w:p>
    <w:p w:rsidR="005339E7" w:rsidRDefault="005339E7" w:rsidP="008B08AD">
      <w:pPr>
        <w:pStyle w:val="ad"/>
        <w:numPr>
          <w:ilvl w:val="0"/>
          <w:numId w:val="1"/>
        </w:numPr>
        <w:tabs>
          <w:tab w:val="left" w:pos="1134"/>
        </w:tabs>
        <w:spacing w:after="160" w:line="360" w:lineRule="auto"/>
        <w:ind w:left="708" w:hanging="498"/>
        <w:contextualSpacing w:val="0"/>
        <w:jc w:val="both"/>
        <w:rPr>
          <w:rFonts w:ascii="Arial" w:hAnsi="Arial"/>
          <w:noProof w:val="0"/>
        </w:rPr>
      </w:pPr>
      <w:r>
        <w:rPr>
          <w:rFonts w:ascii="Arial" w:hAnsi="Arial"/>
          <w:noProof w:val="0"/>
          <w:rtl/>
        </w:rPr>
        <w:t>אמנם,</w:t>
      </w:r>
      <w:r w:rsidR="00E424D4">
        <w:rPr>
          <w:rFonts w:ascii="Arial" w:hAnsi="Arial" w:hint="cs"/>
          <w:noProof w:val="0"/>
          <w:rtl/>
        </w:rPr>
        <w:t xml:space="preserve"> כתב התביעה בענייננו אינו מקיים את</w:t>
      </w:r>
      <w:r>
        <w:rPr>
          <w:rFonts w:ascii="Arial" w:hAnsi="Arial"/>
          <w:noProof w:val="0"/>
          <w:rtl/>
        </w:rPr>
        <w:t xml:space="preserve"> תקנה 10 לתקנות סדר הדין האזרחי, תשע"ט-2018 (להלן: "תקנות סדר הדין האזרחי") </w:t>
      </w:r>
      <w:r w:rsidR="00DB0891">
        <w:rPr>
          <w:rFonts w:ascii="Arial" w:hAnsi="Arial" w:hint="cs"/>
          <w:noProof w:val="0"/>
          <w:rtl/>
        </w:rPr>
        <w:t>לפיה</w:t>
      </w:r>
      <w:r>
        <w:rPr>
          <w:rFonts w:ascii="Arial" w:hAnsi="Arial"/>
          <w:noProof w:val="0"/>
          <w:rtl/>
        </w:rPr>
        <w:t>:</w:t>
      </w:r>
    </w:p>
    <w:p w:rsidR="005339E7" w:rsidRDefault="005339E7" w:rsidP="00F4446B">
      <w:pPr>
        <w:pStyle w:val="ad"/>
        <w:spacing w:after="120"/>
        <w:ind w:left="1440"/>
        <w:jc w:val="both"/>
        <w:rPr>
          <w:rFonts w:ascii="Arial" w:hAnsi="Arial"/>
          <w:b/>
          <w:bCs/>
          <w:noProof w:val="0"/>
        </w:rPr>
      </w:pPr>
      <w:r>
        <w:rPr>
          <w:rFonts w:ascii="Arial" w:hAnsi="Arial"/>
          <w:b/>
          <w:bCs/>
          <w:noProof w:val="0"/>
          <w:rtl/>
        </w:rPr>
        <w:t>"כתב תביעה יכלול בחלקו הראשון את הפרטים האלה בלבד ולפי הסדר המפורט להלן:</w:t>
      </w:r>
    </w:p>
    <w:p w:rsidR="005339E7" w:rsidRDefault="005339E7" w:rsidP="00F4446B">
      <w:pPr>
        <w:pStyle w:val="ad"/>
        <w:spacing w:after="120"/>
        <w:ind w:left="1440"/>
        <w:jc w:val="both"/>
        <w:rPr>
          <w:rFonts w:ascii="Arial" w:hAnsi="Arial"/>
          <w:b/>
          <w:bCs/>
          <w:noProof w:val="0"/>
          <w:rtl/>
        </w:rPr>
      </w:pPr>
      <w:r>
        <w:rPr>
          <w:rFonts w:ascii="Arial" w:hAnsi="Arial"/>
          <w:b/>
          <w:bCs/>
          <w:noProof w:val="0"/>
          <w:rtl/>
        </w:rPr>
        <w:t>...</w:t>
      </w:r>
    </w:p>
    <w:p w:rsidR="005339E7" w:rsidRDefault="005339E7" w:rsidP="00F4446B">
      <w:pPr>
        <w:pStyle w:val="ad"/>
        <w:spacing w:after="120"/>
        <w:ind w:left="1440"/>
        <w:jc w:val="both"/>
        <w:rPr>
          <w:rFonts w:ascii="Arial" w:hAnsi="Arial"/>
          <w:b/>
          <w:bCs/>
          <w:noProof w:val="0"/>
          <w:rtl/>
        </w:rPr>
      </w:pPr>
      <w:r>
        <w:rPr>
          <w:rFonts w:ascii="Arial" w:hAnsi="Arial"/>
          <w:b/>
          <w:bCs/>
          <w:noProof w:val="0"/>
          <w:rtl/>
        </w:rPr>
        <w:t>(8) סוג התביעה ונושאה, לפי רשימה שמנהל בתי המשפט יורה;</w:t>
      </w:r>
    </w:p>
    <w:p w:rsidR="005339E7" w:rsidRDefault="005339E7" w:rsidP="00F4446B">
      <w:pPr>
        <w:pStyle w:val="ad"/>
        <w:spacing w:after="160"/>
        <w:ind w:left="1440"/>
        <w:jc w:val="both"/>
        <w:rPr>
          <w:rFonts w:ascii="Arial" w:hAnsi="Arial"/>
          <w:b/>
          <w:bCs/>
          <w:noProof w:val="0"/>
          <w:rtl/>
        </w:rPr>
      </w:pPr>
      <w:r>
        <w:rPr>
          <w:rFonts w:ascii="Arial" w:hAnsi="Arial"/>
          <w:b/>
          <w:bCs/>
          <w:noProof w:val="0"/>
          <w:rtl/>
        </w:rPr>
        <w:t>(8) רשימת כל הסעדים המבוקשים ושווי נושא התובענה; ..."</w:t>
      </w:r>
    </w:p>
    <w:p w:rsidR="00F4446B" w:rsidRDefault="00F4446B" w:rsidP="00F4446B">
      <w:pPr>
        <w:pStyle w:val="ad"/>
        <w:spacing w:after="160"/>
        <w:contextualSpacing w:val="0"/>
        <w:jc w:val="both"/>
        <w:rPr>
          <w:rFonts w:ascii="Arial" w:hAnsi="Arial"/>
          <w:b/>
          <w:bCs/>
          <w:noProof w:val="0"/>
          <w:rtl/>
        </w:rPr>
      </w:pPr>
    </w:p>
    <w:p w:rsidR="005339E7" w:rsidRDefault="005339E7" w:rsidP="008B08AD">
      <w:pPr>
        <w:pStyle w:val="ad"/>
        <w:numPr>
          <w:ilvl w:val="0"/>
          <w:numId w:val="1"/>
        </w:numPr>
        <w:tabs>
          <w:tab w:val="left" w:pos="1134"/>
        </w:tabs>
        <w:spacing w:after="160" w:line="360" w:lineRule="auto"/>
        <w:ind w:left="708" w:hanging="498"/>
        <w:contextualSpacing w:val="0"/>
        <w:jc w:val="both"/>
        <w:rPr>
          <w:rFonts w:ascii="Arial" w:hAnsi="Arial"/>
          <w:noProof w:val="0"/>
          <w:rtl/>
        </w:rPr>
      </w:pPr>
      <w:r>
        <w:rPr>
          <w:rFonts w:ascii="Arial" w:hAnsi="Arial"/>
          <w:noProof w:val="0"/>
          <w:rtl/>
        </w:rPr>
        <w:t>עם זאת, תקנה 15 לתקנות בית משפט לענייני משפחה (סדרי דין), התשפ״א–2020 קובעת:</w:t>
      </w:r>
    </w:p>
    <w:p w:rsidR="005339E7" w:rsidRDefault="005339E7" w:rsidP="00F4446B">
      <w:pPr>
        <w:pStyle w:val="ad"/>
        <w:spacing w:after="120"/>
        <w:ind w:left="1440"/>
        <w:jc w:val="both"/>
        <w:rPr>
          <w:rFonts w:ascii="Arial" w:hAnsi="Arial"/>
          <w:b/>
          <w:bCs/>
          <w:noProof w:val="0"/>
        </w:rPr>
      </w:pPr>
      <w:r>
        <w:rPr>
          <w:rFonts w:ascii="Arial" w:hAnsi="Arial"/>
          <w:b/>
          <w:bCs/>
          <w:noProof w:val="0"/>
          <w:rtl/>
        </w:rPr>
        <w:t>"תובענה בשל כל אחד מהעניינים המפורטים להלן תוגש בתביעה נפרדת, יהיה מספר הסעדים באותו עניין אשר יהיה:</w:t>
      </w:r>
    </w:p>
    <w:p w:rsidR="00BD5323" w:rsidRDefault="005339E7" w:rsidP="00643425">
      <w:pPr>
        <w:pStyle w:val="ad"/>
        <w:spacing w:after="160"/>
        <w:ind w:left="1440"/>
        <w:jc w:val="both"/>
        <w:rPr>
          <w:rFonts w:ascii="Arial" w:hAnsi="Arial"/>
          <w:b/>
          <w:bCs/>
          <w:noProof w:val="0"/>
          <w:rtl/>
        </w:rPr>
      </w:pPr>
      <w:r>
        <w:rPr>
          <w:rFonts w:ascii="Arial" w:hAnsi="Arial"/>
          <w:b/>
          <w:bCs/>
          <w:noProof w:val="0"/>
          <w:rtl/>
        </w:rPr>
        <w:t>(1) תובענה כספית או רכושית, לרבות סעד הצהרתי, פירוק שיתוף בנכס וסעד לפי </w:t>
      </w:r>
      <w:r w:rsidRPr="00303B03">
        <w:rPr>
          <w:rFonts w:ascii="Arial" w:hAnsi="Arial"/>
          <w:b/>
          <w:bCs/>
          <w:noProof w:val="0"/>
          <w:rtl/>
        </w:rPr>
        <w:t>חוק יחסי ממון בין בני זוג, התשל״ג–1973</w:t>
      </w:r>
      <w:r w:rsidR="00643425">
        <w:rPr>
          <w:rFonts w:ascii="Arial" w:hAnsi="Arial" w:hint="cs"/>
          <w:b/>
          <w:bCs/>
          <w:noProof w:val="0"/>
          <w:rtl/>
        </w:rPr>
        <w:t>;</w:t>
      </w:r>
      <w:r>
        <w:rPr>
          <w:rFonts w:ascii="Arial" w:hAnsi="Arial"/>
          <w:b/>
          <w:bCs/>
          <w:noProof w:val="0"/>
        </w:rPr>
        <w:t xml:space="preserve"> </w:t>
      </w:r>
      <w:r>
        <w:rPr>
          <w:rFonts w:ascii="Arial" w:hAnsi="Arial"/>
          <w:b/>
          <w:bCs/>
          <w:noProof w:val="0"/>
          <w:rtl/>
        </w:rPr>
        <w:t>התובע יאחד בתובענה זו את כל עילות התביעה והסעדים כלפי אותו נתבע בשל אותה מסכת עובדתית".</w:t>
      </w:r>
    </w:p>
    <w:p w:rsidR="00BD5323" w:rsidRPr="00BD5323" w:rsidRDefault="00BD5323" w:rsidP="00BD5323">
      <w:pPr>
        <w:pStyle w:val="ad"/>
        <w:spacing w:after="160"/>
        <w:contextualSpacing w:val="0"/>
        <w:jc w:val="both"/>
        <w:rPr>
          <w:rFonts w:ascii="Arial" w:hAnsi="Arial"/>
          <w:b/>
          <w:bCs/>
          <w:noProof w:val="0"/>
        </w:rPr>
      </w:pPr>
    </w:p>
    <w:p w:rsidR="005339E7" w:rsidRDefault="005339E7" w:rsidP="008B08AD">
      <w:pPr>
        <w:pStyle w:val="ad"/>
        <w:numPr>
          <w:ilvl w:val="0"/>
          <w:numId w:val="1"/>
        </w:numPr>
        <w:tabs>
          <w:tab w:val="left" w:pos="1134"/>
        </w:tabs>
        <w:spacing w:after="160" w:line="360" w:lineRule="auto"/>
        <w:ind w:left="708" w:hanging="498"/>
        <w:contextualSpacing w:val="0"/>
        <w:jc w:val="both"/>
        <w:rPr>
          <w:rFonts w:ascii="Arial" w:hAnsi="Arial"/>
          <w:b/>
          <w:bCs/>
          <w:noProof w:val="0"/>
          <w:rtl/>
        </w:rPr>
      </w:pPr>
      <w:r>
        <w:rPr>
          <w:rFonts w:ascii="Arial" w:hAnsi="Arial"/>
          <w:noProof w:val="0"/>
          <w:rtl/>
        </w:rPr>
        <w:lastRenderedPageBreak/>
        <w:t xml:space="preserve">תכליתה של התקנה האחרונה היא מניעת בזבוז זמן וריבוי התדיינויות כתוצאה מניהול מספר הליכים משפטיים בגין פרשה אחת. מדובר באינטרס ציבורי משמעותי. בנוסף, מצב של ריבוי הליכים בגין מסכת עובדתית אחת גובה מחיר כלכלי מבעלי </w:t>
      </w:r>
      <w:r w:rsidRPr="00303B03">
        <w:rPr>
          <w:rFonts w:ascii="Arial" w:hAnsi="Arial"/>
          <w:noProof w:val="0"/>
          <w:rtl/>
        </w:rPr>
        <w:t>הדין ומהקופה הציבורית ואף עלול להביא להכרעות סותרות (השוו: </w:t>
      </w:r>
      <w:r w:rsidRPr="00303B03">
        <w:rPr>
          <w:rtl/>
        </w:rPr>
        <w:t>גורן, סוגיות בסדר דין אזרחי</w:t>
      </w:r>
      <w:r w:rsidRPr="00303B03">
        <w:rPr>
          <w:rFonts w:ascii="Arial" w:hAnsi="Arial"/>
          <w:noProof w:val="0"/>
          <w:rtl/>
        </w:rPr>
        <w:t> (מהדורה 12, 2015) עמ' 305).</w:t>
      </w:r>
    </w:p>
    <w:p w:rsidR="005339E7" w:rsidRDefault="005339E7" w:rsidP="008B08AD">
      <w:pPr>
        <w:pStyle w:val="ad"/>
        <w:numPr>
          <w:ilvl w:val="0"/>
          <w:numId w:val="1"/>
        </w:numPr>
        <w:tabs>
          <w:tab w:val="left" w:pos="1134"/>
        </w:tabs>
        <w:spacing w:after="160" w:line="360" w:lineRule="auto"/>
        <w:ind w:left="708" w:hanging="498"/>
        <w:contextualSpacing w:val="0"/>
        <w:jc w:val="both"/>
        <w:rPr>
          <w:rFonts w:ascii="Arial" w:hAnsi="Arial"/>
          <w:noProof w:val="0"/>
        </w:rPr>
      </w:pPr>
      <w:r>
        <w:rPr>
          <w:rFonts w:ascii="Arial" w:hAnsi="Arial"/>
          <w:noProof w:val="0"/>
          <w:rtl/>
        </w:rPr>
        <w:t>בענייננו, שני הסעדים בתביעה מתבסס</w:t>
      </w:r>
      <w:r w:rsidR="000757E7">
        <w:rPr>
          <w:rFonts w:ascii="Arial" w:hAnsi="Arial" w:hint="cs"/>
          <w:noProof w:val="0"/>
          <w:rtl/>
        </w:rPr>
        <w:t>ים</w:t>
      </w:r>
      <w:r>
        <w:rPr>
          <w:rFonts w:ascii="Arial" w:hAnsi="Arial"/>
          <w:noProof w:val="0"/>
          <w:rtl/>
        </w:rPr>
        <w:t xml:space="preserve"> על אותה מסכת עובדתית – הסכם הגיר</w:t>
      </w:r>
      <w:r w:rsidR="00772AF0">
        <w:rPr>
          <w:rFonts w:ascii="Arial" w:hAnsi="Arial"/>
          <w:noProof w:val="0"/>
          <w:rtl/>
        </w:rPr>
        <w:t>ושין בין התובעת למנוח משנת 2001</w:t>
      </w:r>
      <w:r w:rsidR="00772AF0">
        <w:rPr>
          <w:rFonts w:ascii="Arial" w:hAnsi="Arial" w:hint="cs"/>
          <w:noProof w:val="0"/>
          <w:rtl/>
        </w:rPr>
        <w:t>, והסדרת זכויותיהם על פיו.</w:t>
      </w:r>
      <w:r>
        <w:rPr>
          <w:rFonts w:ascii="Arial" w:hAnsi="Arial"/>
          <w:noProof w:val="0"/>
          <w:rtl/>
        </w:rPr>
        <w:t xml:space="preserve"> עילת התביעה נעוצה בטענ</w:t>
      </w:r>
      <w:r w:rsidR="000757E7">
        <w:rPr>
          <w:rFonts w:ascii="Arial" w:hAnsi="Arial" w:hint="cs"/>
          <w:noProof w:val="0"/>
          <w:rtl/>
        </w:rPr>
        <w:t>ת התובעת</w:t>
      </w:r>
      <w:r>
        <w:rPr>
          <w:rFonts w:ascii="Arial" w:hAnsi="Arial"/>
          <w:noProof w:val="0"/>
          <w:rtl/>
        </w:rPr>
        <w:t xml:space="preserve"> שזכויותיה על פי ההסכם קופחו, הן בנוגע לבעלותה בדירה והן בנוגע לקבלת חשבונות אודות כלל נכסי המנוח על פי ההסכם. </w:t>
      </w:r>
    </w:p>
    <w:p w:rsidR="005339E7" w:rsidRDefault="001439B2" w:rsidP="008B08AD">
      <w:pPr>
        <w:pStyle w:val="ad"/>
        <w:numPr>
          <w:ilvl w:val="0"/>
          <w:numId w:val="1"/>
        </w:numPr>
        <w:tabs>
          <w:tab w:val="left" w:pos="1134"/>
        </w:tabs>
        <w:spacing w:after="160" w:line="360" w:lineRule="auto"/>
        <w:ind w:left="708" w:hanging="498"/>
        <w:contextualSpacing w:val="0"/>
        <w:jc w:val="both"/>
        <w:rPr>
          <w:rFonts w:ascii="Arial" w:hAnsi="Arial"/>
          <w:noProof w:val="0"/>
        </w:rPr>
      </w:pPr>
      <w:r>
        <w:rPr>
          <w:rFonts w:ascii="Arial" w:hAnsi="Arial" w:hint="cs"/>
          <w:noProof w:val="0"/>
          <w:rtl/>
        </w:rPr>
        <w:t>לאחר ששקלתי את טענות הצדדים בסיכומיהם, מצאתי כי אכן</w:t>
      </w:r>
      <w:r w:rsidR="00D954D7">
        <w:rPr>
          <w:rFonts w:ascii="Arial" w:hAnsi="Arial" w:hint="cs"/>
          <w:noProof w:val="0"/>
          <w:rtl/>
        </w:rPr>
        <w:t xml:space="preserve"> כטענת התובעת,</w:t>
      </w:r>
      <w:r>
        <w:rPr>
          <w:rFonts w:ascii="Arial" w:hAnsi="Arial" w:hint="cs"/>
          <w:noProof w:val="0"/>
          <w:rtl/>
        </w:rPr>
        <w:t xml:space="preserve"> א</w:t>
      </w:r>
      <w:r w:rsidR="005339E7">
        <w:rPr>
          <w:rFonts w:ascii="Arial" w:hAnsi="Arial"/>
          <w:noProof w:val="0"/>
          <w:rtl/>
        </w:rPr>
        <w:t xml:space="preserve">ין מקום להפרדה בין </w:t>
      </w:r>
      <w:r w:rsidR="00D954D7">
        <w:rPr>
          <w:rFonts w:ascii="Arial" w:hAnsi="Arial" w:hint="cs"/>
          <w:noProof w:val="0"/>
          <w:rtl/>
        </w:rPr>
        <w:t>הסעדים המבוקשים בתובענות נפרדות</w:t>
      </w:r>
      <w:r w:rsidR="005339E7">
        <w:rPr>
          <w:rFonts w:ascii="Arial" w:hAnsi="Arial"/>
          <w:noProof w:val="0"/>
          <w:rtl/>
        </w:rPr>
        <w:t xml:space="preserve">, שכן הפרדה זו משמעה עינוי דין וכן בזבוז זמן ומשאבים לשני הצדדים, וכן השחתת זמנו של בית המשפט בניהול הליכים נוספים עתידיים ביחס לאותה מסכת עובדתית. </w:t>
      </w:r>
    </w:p>
    <w:p w:rsidR="005339E7" w:rsidRDefault="005339E7" w:rsidP="008B08AD">
      <w:pPr>
        <w:pStyle w:val="ad"/>
        <w:numPr>
          <w:ilvl w:val="0"/>
          <w:numId w:val="1"/>
        </w:numPr>
        <w:tabs>
          <w:tab w:val="left" w:pos="1134"/>
        </w:tabs>
        <w:spacing w:after="160" w:line="360" w:lineRule="auto"/>
        <w:ind w:left="708" w:hanging="498"/>
        <w:contextualSpacing w:val="0"/>
        <w:jc w:val="both"/>
        <w:rPr>
          <w:rFonts w:ascii="Arial" w:hAnsi="Arial"/>
          <w:noProof w:val="0"/>
        </w:rPr>
      </w:pPr>
      <w:r>
        <w:rPr>
          <w:rFonts w:ascii="Arial" w:hAnsi="Arial"/>
          <w:noProof w:val="0"/>
          <w:rtl/>
        </w:rPr>
        <w:t>על מנת להגיע לתוצאות צודקות ונכונות ככל האפשר, מצאתי לקבל את עמדת התובעת לדון בתב</w:t>
      </w:r>
      <w:r w:rsidR="00A9200B">
        <w:rPr>
          <w:rFonts w:ascii="Arial" w:hAnsi="Arial"/>
          <w:noProof w:val="0"/>
          <w:rtl/>
        </w:rPr>
        <w:t>יעה הכוללת את שני הסעדים במאוחד</w:t>
      </w:r>
      <w:r>
        <w:rPr>
          <w:rFonts w:ascii="Arial" w:hAnsi="Arial"/>
          <w:noProof w:val="0"/>
          <w:rtl/>
        </w:rPr>
        <w:t>.</w:t>
      </w:r>
    </w:p>
    <w:p w:rsidR="005339E7" w:rsidRDefault="00343E54" w:rsidP="008B08AD">
      <w:pPr>
        <w:pStyle w:val="ad"/>
        <w:numPr>
          <w:ilvl w:val="0"/>
          <w:numId w:val="1"/>
        </w:numPr>
        <w:tabs>
          <w:tab w:val="left" w:pos="1134"/>
        </w:tabs>
        <w:spacing w:after="160" w:line="360" w:lineRule="auto"/>
        <w:ind w:left="708" w:hanging="498"/>
        <w:contextualSpacing w:val="0"/>
        <w:jc w:val="both"/>
        <w:rPr>
          <w:rFonts w:ascii="Arial" w:hAnsi="Arial"/>
          <w:b/>
          <w:bCs/>
          <w:noProof w:val="0"/>
        </w:rPr>
      </w:pPr>
      <w:r>
        <w:rPr>
          <w:rFonts w:ascii="Arial" w:hAnsi="Arial" w:hint="cs"/>
          <w:noProof w:val="0"/>
          <w:rtl/>
        </w:rPr>
        <w:t xml:space="preserve">מכל מקום, </w:t>
      </w:r>
      <w:r w:rsidR="001C5F6D" w:rsidRPr="001C5F6D">
        <w:rPr>
          <w:rFonts w:ascii="Arial" w:hAnsi="Arial"/>
          <w:noProof w:val="0"/>
          <w:rtl/>
        </w:rPr>
        <w:t xml:space="preserve">בנסיבות המקרה שלפנינו, </w:t>
      </w:r>
      <w:r w:rsidR="001C5F6D" w:rsidRPr="001C5F6D">
        <w:rPr>
          <w:rFonts w:ascii="David" w:hAnsi="David"/>
          <w:noProof w:val="0"/>
          <w:color w:val="000000"/>
          <w:rtl/>
        </w:rPr>
        <w:t xml:space="preserve">לאחר ששקלתי את כלל טענות הצדדים, עיינתי </w:t>
      </w:r>
      <w:r w:rsidR="001C5F6D" w:rsidRPr="001C5F6D">
        <w:rPr>
          <w:rFonts w:ascii="Arial" w:hAnsi="Arial"/>
          <w:noProof w:val="0"/>
          <w:rtl/>
        </w:rPr>
        <w:t>במלוא</w:t>
      </w:r>
      <w:r w:rsidR="001C5F6D" w:rsidRPr="001C5F6D">
        <w:rPr>
          <w:rFonts w:ascii="David" w:hAnsi="David"/>
          <w:noProof w:val="0"/>
          <w:color w:val="000000"/>
          <w:rtl/>
        </w:rPr>
        <w:t xml:space="preserve"> החומר המצוי בתיק, </w:t>
      </w:r>
      <w:r w:rsidR="001C5F6D" w:rsidRPr="001C5F6D">
        <w:rPr>
          <w:rFonts w:ascii="Arial" w:hAnsi="Arial"/>
          <w:noProof w:val="0"/>
          <w:rtl/>
        </w:rPr>
        <w:t>ובחנתי את מכלול השיקולים הרלוונטיי</w:t>
      </w:r>
      <w:r w:rsidR="001C5F6D" w:rsidRPr="001C5F6D">
        <w:rPr>
          <w:rFonts w:ascii="Arial" w:hAnsi="Arial" w:hint="cs"/>
          <w:noProof w:val="0"/>
          <w:rtl/>
        </w:rPr>
        <w:t xml:space="preserve">ם, ובכלל זה </w:t>
      </w:r>
      <w:r w:rsidR="005339E7" w:rsidRPr="001C5F6D">
        <w:rPr>
          <w:rFonts w:ascii="Arial" w:hAnsi="Arial"/>
          <w:noProof w:val="0"/>
          <w:rtl/>
        </w:rPr>
        <w:t xml:space="preserve">את העובדה לפיה הסכסוך בין הצדדים נידון כבר מאז חודש אוגוסט 2011 (בהליך לקיום צוואת המנוח), נדון שוב בשנת 2017 בתביעה לדמי שימוש שהגישה הנתבעת, ועתה שוב בתביעה שהוגשה בחודש אוקטובר 2020, וכן לאחר שמצאתי טעמים רבים לדחיית התביעה על הסף (כפי שיפורט להלן), </w:t>
      </w:r>
      <w:r w:rsidR="00774AFC">
        <w:rPr>
          <w:rFonts w:ascii="Arial" w:hAnsi="Arial" w:hint="cs"/>
          <w:noProof w:val="0"/>
          <w:rtl/>
        </w:rPr>
        <w:t>החלטתי</w:t>
      </w:r>
      <w:r w:rsidR="005339E7" w:rsidRPr="001C5F6D">
        <w:rPr>
          <w:rFonts w:ascii="Arial" w:hAnsi="Arial"/>
          <w:noProof w:val="0"/>
          <w:rtl/>
        </w:rPr>
        <w:t xml:space="preserve"> שלא לעכב עוד את הדיון בהליך ובכך לגרום לעינוי דין בלתי מוצדק.</w:t>
      </w:r>
    </w:p>
    <w:p w:rsidR="005339E7" w:rsidRDefault="005339E7" w:rsidP="008B08AD">
      <w:pPr>
        <w:pStyle w:val="ad"/>
        <w:numPr>
          <w:ilvl w:val="0"/>
          <w:numId w:val="1"/>
        </w:numPr>
        <w:tabs>
          <w:tab w:val="left" w:pos="1134"/>
        </w:tabs>
        <w:spacing w:after="160" w:line="360" w:lineRule="auto"/>
        <w:ind w:left="708" w:hanging="498"/>
        <w:contextualSpacing w:val="0"/>
        <w:jc w:val="both"/>
        <w:rPr>
          <w:rFonts w:ascii="Arial" w:hAnsi="Arial"/>
          <w:b/>
          <w:bCs/>
          <w:noProof w:val="0"/>
        </w:rPr>
      </w:pPr>
      <w:r>
        <w:rPr>
          <w:rFonts w:ascii="Arial" w:hAnsi="Arial"/>
          <w:noProof w:val="0"/>
          <w:rtl/>
        </w:rPr>
        <w:t>בהקשר זה יובהר כי טענות הצדדים בנוגע לסכסוך העיקרי נטענו לאורך כל הדרך, לרבות בכתבי הטענות ובדיונים, כאשר אף התקיים דיון הוכחות בו נחקרו הצדדים באריכות לגופו של עניין. יתרה מכך, כאמור אף בסיכומים העלו שני הצדדים טענות לגופו של הליך (ראו סעיפים 5-2 לסיכומי התובעת, וסיכומי הנתבעת בסעיף 2 ואילך). על כן, מצאתי כי נתמלאו התנאים למתן פסק הדין לסיום ההליך.</w:t>
      </w:r>
    </w:p>
    <w:p w:rsidR="005339E7" w:rsidRDefault="00774AFC" w:rsidP="008B08AD">
      <w:pPr>
        <w:pStyle w:val="ad"/>
        <w:numPr>
          <w:ilvl w:val="0"/>
          <w:numId w:val="1"/>
        </w:numPr>
        <w:tabs>
          <w:tab w:val="left" w:pos="1134"/>
        </w:tabs>
        <w:spacing w:after="160" w:line="360" w:lineRule="auto"/>
        <w:ind w:left="708" w:hanging="498"/>
        <w:contextualSpacing w:val="0"/>
        <w:jc w:val="both"/>
        <w:rPr>
          <w:rFonts w:ascii="Arial" w:hAnsi="Arial"/>
          <w:noProof w:val="0"/>
        </w:rPr>
      </w:pPr>
      <w:r>
        <w:rPr>
          <w:rFonts w:ascii="Arial" w:hAnsi="Arial" w:hint="cs"/>
          <w:noProof w:val="0"/>
          <w:rtl/>
        </w:rPr>
        <w:t>כאמור,</w:t>
      </w:r>
      <w:r w:rsidR="005339E7">
        <w:rPr>
          <w:rFonts w:ascii="Arial" w:hAnsi="Arial"/>
          <w:noProof w:val="0"/>
          <w:rtl/>
        </w:rPr>
        <w:t xml:space="preserve"> מצאתי טעמים רבים לדחות את התביעה על הסף, ביחס לכל הסעדים המבוקשים בה, כפי שיפורט להלן.</w:t>
      </w:r>
    </w:p>
    <w:p w:rsidR="005339E7" w:rsidRDefault="005339E7" w:rsidP="008B08AD">
      <w:pPr>
        <w:pStyle w:val="ad"/>
        <w:numPr>
          <w:ilvl w:val="0"/>
          <w:numId w:val="1"/>
        </w:numPr>
        <w:tabs>
          <w:tab w:val="left" w:pos="1134"/>
        </w:tabs>
        <w:spacing w:after="160" w:line="360" w:lineRule="auto"/>
        <w:ind w:left="708" w:hanging="498"/>
        <w:contextualSpacing w:val="0"/>
        <w:jc w:val="both"/>
        <w:rPr>
          <w:rFonts w:ascii="Arial" w:hAnsi="Arial"/>
          <w:noProof w:val="0"/>
        </w:rPr>
      </w:pPr>
      <w:r>
        <w:rPr>
          <w:rFonts w:ascii="Arial" w:hAnsi="Arial"/>
          <w:noProof w:val="0"/>
          <w:rtl/>
        </w:rPr>
        <w:t>כידוע, סילוק של תביעה על הסף, בין על דרך של מחיקה ובין על דרך של דחייה, הינו סעד חריג, ויש לעשות בסעד זה שימוש זהיר "</w:t>
      </w:r>
      <w:r>
        <w:rPr>
          <w:rFonts w:ascii="Arial" w:hAnsi="Arial"/>
          <w:b/>
          <w:bCs/>
          <w:noProof w:val="0"/>
          <w:rtl/>
        </w:rPr>
        <w:t>במקרים יוצאי דופן בלבד, כאשר אין ולו אפשרות קלושה שבירור התובענה לגופה יניב לתובע את הסעד המבוקש</w:t>
      </w:r>
      <w:r>
        <w:rPr>
          <w:rFonts w:ascii="Arial" w:hAnsi="Arial"/>
          <w:noProof w:val="0"/>
          <w:rtl/>
        </w:rPr>
        <w:t>" (ראו: </w:t>
      </w:r>
      <w:r>
        <w:rPr>
          <w:rFonts w:ascii="Arial" w:eastAsiaTheme="majorEastAsia" w:hAnsi="Arial"/>
          <w:noProof w:val="0"/>
          <w:rtl/>
        </w:rPr>
        <w:t xml:space="preserve">רע"א </w:t>
      </w:r>
      <w:r>
        <w:rPr>
          <w:rFonts w:ascii="Arial" w:eastAsiaTheme="majorEastAsia" w:hAnsi="Arial"/>
          <w:noProof w:val="0"/>
          <w:rtl/>
        </w:rPr>
        <w:lastRenderedPageBreak/>
        <w:t>8076/16</w:t>
      </w:r>
      <w:r>
        <w:rPr>
          <w:rFonts w:ascii="Arial" w:hAnsi="Arial"/>
          <w:noProof w:val="0"/>
          <w:rtl/>
        </w:rPr>
        <w:t> </w:t>
      </w:r>
      <w:r>
        <w:rPr>
          <w:rFonts w:ascii="Arial" w:hAnsi="Arial"/>
          <w:b/>
          <w:bCs/>
          <w:noProof w:val="0"/>
          <w:rtl/>
        </w:rPr>
        <w:t xml:space="preserve">בטאט נ' דיור ב.פ בע"מ </w:t>
      </w:r>
      <w:r>
        <w:rPr>
          <w:rFonts w:ascii="Arial" w:hAnsi="Arial"/>
          <w:noProof w:val="0"/>
          <w:rtl/>
        </w:rPr>
        <w:t>(פורסם בנבו, 5.2.17); א' </w:t>
      </w:r>
      <w:r>
        <w:rPr>
          <w:rFonts w:ascii="Arial" w:eastAsiaTheme="majorEastAsia" w:hAnsi="Arial"/>
          <w:noProof w:val="0"/>
          <w:rtl/>
        </w:rPr>
        <w:t>גורן, סוגיות בסדר דין אזרחי</w:t>
      </w:r>
      <w:r>
        <w:rPr>
          <w:rFonts w:ascii="Arial" w:hAnsi="Arial"/>
          <w:noProof w:val="0"/>
          <w:rtl/>
        </w:rPr>
        <w:t> 342 (מהדורה 12, 2015).</w:t>
      </w:r>
    </w:p>
    <w:p w:rsidR="005339E7" w:rsidRDefault="005339E7" w:rsidP="005339E7">
      <w:pPr>
        <w:spacing w:after="120" w:line="360" w:lineRule="auto"/>
        <w:jc w:val="both"/>
        <w:rPr>
          <w:rFonts w:ascii="Arial" w:hAnsi="Arial"/>
          <w:b/>
          <w:bCs/>
          <w:noProof w:val="0"/>
          <w:u w:val="single"/>
          <w:rtl/>
        </w:rPr>
      </w:pPr>
      <w:r>
        <w:rPr>
          <w:rFonts w:ascii="Arial" w:hAnsi="Arial"/>
          <w:b/>
          <w:bCs/>
          <w:noProof w:val="0"/>
          <w:u w:val="single"/>
          <w:rtl/>
        </w:rPr>
        <w:t>התביעה לסעד הצהרתי בעניין זכויות הנתבעת בדירה</w:t>
      </w:r>
    </w:p>
    <w:p w:rsidR="005339E7" w:rsidRDefault="005339E7" w:rsidP="005339E7">
      <w:pPr>
        <w:spacing w:after="120" w:line="360" w:lineRule="auto"/>
        <w:jc w:val="both"/>
        <w:rPr>
          <w:rFonts w:ascii="Arial" w:hAnsi="Arial"/>
          <w:b/>
          <w:bCs/>
          <w:noProof w:val="0"/>
          <w:rtl/>
        </w:rPr>
      </w:pPr>
      <w:r>
        <w:rPr>
          <w:rFonts w:ascii="Arial" w:hAnsi="Arial"/>
          <w:b/>
          <w:bCs/>
          <w:noProof w:val="0"/>
          <w:rtl/>
        </w:rPr>
        <w:t>מעשה בית דין / השתק פלוגתא / השתק עילה</w:t>
      </w:r>
    </w:p>
    <w:p w:rsidR="005339E7" w:rsidRDefault="005339E7" w:rsidP="008B08AD">
      <w:pPr>
        <w:pStyle w:val="ad"/>
        <w:numPr>
          <w:ilvl w:val="0"/>
          <w:numId w:val="1"/>
        </w:numPr>
        <w:tabs>
          <w:tab w:val="left" w:pos="1134"/>
        </w:tabs>
        <w:spacing w:after="160" w:line="360" w:lineRule="auto"/>
        <w:ind w:left="708" w:hanging="498"/>
        <w:contextualSpacing w:val="0"/>
        <w:jc w:val="both"/>
        <w:rPr>
          <w:rFonts w:ascii="Arial" w:hAnsi="Arial"/>
          <w:noProof w:val="0"/>
        </w:rPr>
      </w:pPr>
      <w:r>
        <w:rPr>
          <w:rFonts w:ascii="Arial" w:hAnsi="Arial"/>
          <w:noProof w:val="0"/>
          <w:rtl/>
        </w:rPr>
        <w:t>לטענת הנתבעת, יש לדחות את התביעה על הסף מחמת מעשה בית דין, השתק עילה והשתק פלוגתא. התובעת מתעלמת משלושה פסקי דין חלוטים שדנו בשאלת הבעלות של הדירה: הראשון בהליך קיום הצוואה בו לא התקבלו טענות התובעת בעניין הדירה; השני בתביעה לדמי שימוש בה בית משפט זה הכריע מפורשות בשאלת זכויות הצדדים בדירה; והשלישי בערעור שהוגש לבית המשפט המחוזי ונמחק בהסכמה על ידי הצדדים. לפיכך יש לדחות את התביעה ולשים קץ להתדיינויות סרק נוספות בעתיד.</w:t>
      </w:r>
    </w:p>
    <w:p w:rsidR="005339E7" w:rsidRDefault="005339E7" w:rsidP="008B08AD">
      <w:pPr>
        <w:pStyle w:val="ad"/>
        <w:numPr>
          <w:ilvl w:val="0"/>
          <w:numId w:val="1"/>
        </w:numPr>
        <w:tabs>
          <w:tab w:val="left" w:pos="1134"/>
        </w:tabs>
        <w:spacing w:after="160" w:line="360" w:lineRule="auto"/>
        <w:ind w:left="708" w:hanging="498"/>
        <w:contextualSpacing w:val="0"/>
        <w:jc w:val="both"/>
        <w:rPr>
          <w:rFonts w:ascii="Arial" w:hAnsi="Arial"/>
          <w:noProof w:val="0"/>
        </w:rPr>
      </w:pPr>
      <w:r>
        <w:rPr>
          <w:rFonts w:ascii="Arial" w:hAnsi="Arial"/>
          <w:noProof w:val="0"/>
          <w:rtl/>
        </w:rPr>
        <w:t>לטענת התובעת, בפסק הדין שניתן בתביעה לדמי שימוש בית המשפט לא הכריע בזכויות בעניין הדירה, אלא יצא מנקוד</w:t>
      </w:r>
      <w:r w:rsidR="003536EB">
        <w:rPr>
          <w:rFonts w:ascii="Arial" w:hAnsi="Arial"/>
          <w:noProof w:val="0"/>
          <w:rtl/>
        </w:rPr>
        <w:t>ת הנחה שהצוואה חלה לגבי הדירה (</w:t>
      </w:r>
      <w:r w:rsidR="003536EB">
        <w:rPr>
          <w:rFonts w:ascii="Arial" w:hAnsi="Arial" w:hint="cs"/>
          <w:noProof w:val="0"/>
          <w:rtl/>
        </w:rPr>
        <w:t>וב</w:t>
      </w:r>
      <w:r w:rsidR="003536EB">
        <w:rPr>
          <w:rFonts w:ascii="Arial" w:hAnsi="Arial"/>
          <w:noProof w:val="0"/>
          <w:rtl/>
        </w:rPr>
        <w:t>התאם</w:t>
      </w:r>
      <w:r w:rsidR="003536EB">
        <w:rPr>
          <w:rFonts w:ascii="Arial" w:hAnsi="Arial" w:hint="cs"/>
          <w:noProof w:val="0"/>
          <w:rtl/>
        </w:rPr>
        <w:t>, נרשם ה</w:t>
      </w:r>
      <w:r>
        <w:rPr>
          <w:rFonts w:ascii="Arial" w:hAnsi="Arial"/>
          <w:noProof w:val="0"/>
          <w:rtl/>
        </w:rPr>
        <w:t xml:space="preserve">רישום השגוי בטאבו). לפיכך לטענתה אין מעשה דין לגבי הדירה עצמה. </w:t>
      </w:r>
    </w:p>
    <w:p w:rsidR="005339E7" w:rsidRDefault="005339E7" w:rsidP="008B08AD">
      <w:pPr>
        <w:pStyle w:val="ad"/>
        <w:numPr>
          <w:ilvl w:val="0"/>
          <w:numId w:val="1"/>
        </w:numPr>
        <w:tabs>
          <w:tab w:val="left" w:pos="1134"/>
        </w:tabs>
        <w:spacing w:after="160" w:line="360" w:lineRule="auto"/>
        <w:ind w:left="708" w:hanging="498"/>
        <w:contextualSpacing w:val="0"/>
        <w:jc w:val="both"/>
        <w:rPr>
          <w:rFonts w:ascii="Arial" w:hAnsi="Arial"/>
          <w:noProof w:val="0"/>
        </w:rPr>
      </w:pPr>
      <w:r>
        <w:rPr>
          <w:rFonts w:ascii="Arial" w:hAnsi="Arial"/>
          <w:noProof w:val="0"/>
          <w:rtl/>
        </w:rPr>
        <w:t xml:space="preserve">תקנה 43 לתקנות סדר הדין האזרחי, קובעת: </w:t>
      </w:r>
      <w:r>
        <w:rPr>
          <w:rFonts w:ascii="Arial" w:hAnsi="Arial"/>
          <w:b/>
          <w:bCs/>
          <w:noProof w:val="0"/>
          <w:rtl/>
        </w:rPr>
        <w:t>"בית המשפט רשאי לדחות תביעה בכל עת בשל קיומו של מעשה בית דין, התיישנות או מכל נימוק אחר, שלפיו הוא סבור כי ראוי ונכון לדחות את התביעה".</w:t>
      </w:r>
    </w:p>
    <w:p w:rsidR="005339E7" w:rsidRDefault="005339E7" w:rsidP="008B08AD">
      <w:pPr>
        <w:pStyle w:val="ad"/>
        <w:numPr>
          <w:ilvl w:val="0"/>
          <w:numId w:val="1"/>
        </w:numPr>
        <w:spacing w:after="160" w:line="360" w:lineRule="auto"/>
        <w:ind w:left="708" w:hanging="498"/>
        <w:contextualSpacing w:val="0"/>
        <w:jc w:val="both"/>
        <w:rPr>
          <w:rFonts w:ascii="Arial" w:hAnsi="Arial"/>
          <w:noProof w:val="0"/>
        </w:rPr>
      </w:pPr>
      <w:r>
        <w:rPr>
          <w:rFonts w:ascii="Arial" w:hAnsi="Arial"/>
          <w:noProof w:val="0"/>
          <w:rtl/>
        </w:rPr>
        <w:t>מטרת הכלל בדבר מעשה בית דין היא למנוע הטרדה חוזרת של בעל דין בגין אותה עילה וכן למנוע מבית המשפט את הצורך לברר ולהכריע שוב בעילה או בפלוגתא שהוכרעו לגוף העניין.</w:t>
      </w:r>
    </w:p>
    <w:p w:rsidR="005339E7" w:rsidRDefault="005339E7" w:rsidP="008B08AD">
      <w:pPr>
        <w:pStyle w:val="ad"/>
        <w:numPr>
          <w:ilvl w:val="0"/>
          <w:numId w:val="1"/>
        </w:numPr>
        <w:spacing w:after="160" w:line="360" w:lineRule="auto"/>
        <w:ind w:left="708" w:hanging="498"/>
        <w:contextualSpacing w:val="0"/>
        <w:jc w:val="both"/>
        <w:rPr>
          <w:rFonts w:ascii="Arial" w:hAnsi="Arial"/>
          <w:noProof w:val="0"/>
        </w:rPr>
      </w:pPr>
      <w:r>
        <w:rPr>
          <w:rFonts w:ascii="Arial" w:hAnsi="Arial"/>
          <w:noProof w:val="0"/>
          <w:rtl/>
        </w:rPr>
        <w:t xml:space="preserve">התנאי הוא שלבעל דין, שנגדו נטענת טענת מעשה בית דין, ניתנה הזדמנות הוגנת ומלאה להעלות את טענותיו בהליך קודם, כאשר בעלי הדין בשני ההליכים זהים (ראה: עו"ד משה קשת, הזכויות הדיוניות וסדר הדין במשפט האזרחי </w:t>
      </w:r>
      <w:r>
        <w:rPr>
          <w:rFonts w:ascii="Arial" w:hAnsi="Arial"/>
          <w:b/>
          <w:bCs/>
          <w:noProof w:val="0"/>
          <w:rtl/>
        </w:rPr>
        <w:t>הלכה ומעשה</w:t>
      </w:r>
      <w:r>
        <w:rPr>
          <w:rFonts w:ascii="Arial" w:hAnsi="Arial"/>
          <w:noProof w:val="0"/>
          <w:rtl/>
        </w:rPr>
        <w:t xml:space="preserve">, מהדורה 15, כרך  ההוצאה לאור של לשכת עורכי הדין, תשס"ז, בעמ' 662, 669). יודגש כי המבחן הוא "זהות העילה" להבדיל ממבחן "זהות הסעד" (ראה ע"א 54/87 אמגר </w:t>
      </w:r>
      <w:r>
        <w:rPr>
          <w:rFonts w:ascii="Arial" w:hAnsi="Arial"/>
          <w:b/>
          <w:bCs/>
          <w:noProof w:val="0"/>
          <w:rtl/>
        </w:rPr>
        <w:t>חברה לשיווק והשקעות בע"מ נ' ק.י.מ.א. להשקעות ובניין בע"מ</w:t>
      </w:r>
      <w:r>
        <w:rPr>
          <w:rFonts w:ascii="Arial" w:hAnsi="Arial"/>
          <w:noProof w:val="0"/>
          <w:rtl/>
        </w:rPr>
        <w:t>, פ"ד מג(2) 347).</w:t>
      </w:r>
    </w:p>
    <w:p w:rsidR="005339E7" w:rsidRDefault="005339E7" w:rsidP="008B08AD">
      <w:pPr>
        <w:pStyle w:val="ad"/>
        <w:numPr>
          <w:ilvl w:val="0"/>
          <w:numId w:val="1"/>
        </w:numPr>
        <w:spacing w:after="160" w:line="360" w:lineRule="auto"/>
        <w:ind w:left="708" w:hanging="498"/>
        <w:contextualSpacing w:val="0"/>
        <w:jc w:val="both"/>
        <w:rPr>
          <w:rFonts w:ascii="Arial" w:hAnsi="Arial"/>
          <w:noProof w:val="0"/>
        </w:rPr>
      </w:pPr>
      <w:r>
        <w:rPr>
          <w:rFonts w:ascii="Arial" w:hAnsi="Arial"/>
          <w:noProof w:val="0"/>
          <w:rtl/>
        </w:rPr>
        <w:t xml:space="preserve">בע"א 735/07 </w:t>
      </w:r>
      <w:r>
        <w:rPr>
          <w:rFonts w:ascii="Arial" w:hAnsi="Arial"/>
          <w:b/>
          <w:bCs/>
          <w:noProof w:val="0"/>
          <w:rtl/>
        </w:rPr>
        <w:t xml:space="preserve">צמרות חברה לבניין נ' בנק מזרחי-טפחות </w:t>
      </w:r>
      <w:r>
        <w:rPr>
          <w:rFonts w:ascii="Arial" w:hAnsi="Arial"/>
          <w:noProof w:val="0"/>
          <w:rtl/>
        </w:rPr>
        <w:t>נקבע כי "</w:t>
      </w:r>
      <w:r>
        <w:rPr>
          <w:rFonts w:ascii="Arial" w:hAnsi="Arial"/>
          <w:b/>
          <w:bCs/>
          <w:noProof w:val="0"/>
          <w:rtl/>
        </w:rPr>
        <w:t>השתק פלוגתא מקים מחסום דיוני בפני בעל דין המבקש לשוב ולהתדיין בכל שאלה, עובדתית או משפטית, שנדונה בין הצדדים בעבר, בתנאי שהייתה חיונית לתוצאה הסופית, והוכרעה באותו הליך, במפורש או מכללא, שאז בעלי הדין מושתקים מלהתדיין בעניינה מחדש במשפט נוסף, וזאת, גם אם עילתו שונה מעילתה של התביעה הראשונה".</w:t>
      </w:r>
    </w:p>
    <w:p w:rsidR="005339E7" w:rsidRPr="00F4446B" w:rsidRDefault="005339E7" w:rsidP="008B08AD">
      <w:pPr>
        <w:pStyle w:val="ad"/>
        <w:numPr>
          <w:ilvl w:val="0"/>
          <w:numId w:val="1"/>
        </w:numPr>
        <w:spacing w:after="160" w:line="360" w:lineRule="auto"/>
        <w:ind w:left="708" w:hanging="498"/>
        <w:contextualSpacing w:val="0"/>
        <w:jc w:val="both"/>
        <w:rPr>
          <w:rFonts w:ascii="Arial" w:hAnsi="Arial"/>
          <w:noProof w:val="0"/>
        </w:rPr>
      </w:pPr>
      <w:r>
        <w:rPr>
          <w:rFonts w:ascii="Arial" w:hAnsi="Arial"/>
          <w:noProof w:val="0"/>
          <w:rtl/>
        </w:rPr>
        <w:t>בע"א 4087/04‏  ‏ </w:t>
      </w:r>
      <w:r>
        <w:rPr>
          <w:rFonts w:ascii="Arial" w:hAnsi="Arial"/>
          <w:b/>
          <w:bCs/>
          <w:noProof w:val="0"/>
          <w:rtl/>
        </w:rPr>
        <w:t>מוטי גורה נ' בנק לאומי לישראל בע"מ</w:t>
      </w:r>
      <w:r>
        <w:rPr>
          <w:rFonts w:ascii="Arial" w:hAnsi="Arial"/>
          <w:noProof w:val="0"/>
          <w:rtl/>
        </w:rPr>
        <w:t>, ציין בית המשפט את התנאים של "השתק פלוגתא" כפי שס</w:t>
      </w:r>
      <w:r w:rsidR="00F4446B">
        <w:rPr>
          <w:rFonts w:ascii="Arial" w:hAnsi="Arial" w:hint="cs"/>
          <w:noProof w:val="0"/>
          <w:rtl/>
        </w:rPr>
        <w:t>י</w:t>
      </w:r>
      <w:r>
        <w:rPr>
          <w:rFonts w:ascii="Arial" w:hAnsi="Arial"/>
          <w:noProof w:val="0"/>
          <w:rtl/>
        </w:rPr>
        <w:t xml:space="preserve">כמה </w:t>
      </w:r>
      <w:r w:rsidRPr="00F4446B">
        <w:rPr>
          <w:rFonts w:ascii="Arial" w:hAnsi="Arial"/>
          <w:noProof w:val="0"/>
          <w:rtl/>
        </w:rPr>
        <w:t>ד"ר זלצמן בספרה "</w:t>
      </w:r>
      <w:r w:rsidRPr="00F4446B">
        <w:rPr>
          <w:rFonts w:ascii="Arial" w:hAnsi="Arial"/>
          <w:b/>
          <w:bCs/>
          <w:noProof w:val="0"/>
          <w:rtl/>
        </w:rPr>
        <w:t>מעשה בית דין בהליך אזרחי</w:t>
      </w:r>
      <w:r w:rsidR="00F4446B">
        <w:rPr>
          <w:rFonts w:ascii="Arial" w:hAnsi="Arial" w:hint="cs"/>
          <w:noProof w:val="0"/>
          <w:rtl/>
        </w:rPr>
        <w:t>"</w:t>
      </w:r>
      <w:r w:rsidRPr="00F4446B">
        <w:rPr>
          <w:rFonts w:ascii="Arial" w:hAnsi="Arial"/>
          <w:noProof w:val="0"/>
          <w:rtl/>
        </w:rPr>
        <w:t xml:space="preserve"> (1991):</w:t>
      </w:r>
    </w:p>
    <w:p w:rsidR="005339E7" w:rsidRDefault="005339E7" w:rsidP="005339E7">
      <w:pPr>
        <w:pStyle w:val="ad"/>
        <w:numPr>
          <w:ilvl w:val="0"/>
          <w:numId w:val="2"/>
        </w:numPr>
        <w:spacing w:after="120" w:line="360" w:lineRule="auto"/>
        <w:jc w:val="both"/>
        <w:rPr>
          <w:rFonts w:ascii="Arial" w:hAnsi="Arial"/>
          <w:noProof w:val="0"/>
        </w:rPr>
      </w:pPr>
      <w:r>
        <w:rPr>
          <w:rFonts w:ascii="Arial" w:hAnsi="Arial"/>
          <w:noProof w:val="0"/>
          <w:rtl/>
        </w:rPr>
        <w:lastRenderedPageBreak/>
        <w:t>הפלוגתא העולה בכל אחת מההתדיינויות היא אותה פלוגתא, על רכיביה המשפטיים והעובדתיים;</w:t>
      </w:r>
    </w:p>
    <w:p w:rsidR="005339E7" w:rsidRDefault="005339E7" w:rsidP="005339E7">
      <w:pPr>
        <w:pStyle w:val="ad"/>
        <w:numPr>
          <w:ilvl w:val="0"/>
          <w:numId w:val="2"/>
        </w:numPr>
        <w:spacing w:after="120" w:line="360" w:lineRule="auto"/>
        <w:jc w:val="both"/>
        <w:rPr>
          <w:rFonts w:ascii="Arial" w:hAnsi="Arial"/>
          <w:noProof w:val="0"/>
          <w:rtl/>
        </w:rPr>
      </w:pPr>
      <w:r>
        <w:rPr>
          <w:rFonts w:ascii="Arial" w:hAnsi="Arial"/>
          <w:noProof w:val="0"/>
          <w:rtl/>
        </w:rPr>
        <w:t>בין הצדדים התקיימה התדיינות בכל הנוגע לפלוגתא זו;</w:t>
      </w:r>
    </w:p>
    <w:p w:rsidR="005339E7" w:rsidRDefault="005339E7" w:rsidP="005339E7">
      <w:pPr>
        <w:pStyle w:val="ad"/>
        <w:numPr>
          <w:ilvl w:val="0"/>
          <w:numId w:val="2"/>
        </w:numPr>
        <w:spacing w:after="120" w:line="360" w:lineRule="auto"/>
        <w:jc w:val="both"/>
        <w:rPr>
          <w:rFonts w:ascii="Arial" w:hAnsi="Arial"/>
          <w:noProof w:val="0"/>
          <w:rtl/>
        </w:rPr>
      </w:pPr>
      <w:r>
        <w:rPr>
          <w:rFonts w:ascii="Arial" w:hAnsi="Arial"/>
          <w:noProof w:val="0"/>
          <w:rtl/>
        </w:rPr>
        <w:t>ההתדיינות הסתיימה בהכרעה מפורשת או משתמעת ונקבע לגביה ממצא פוזיטיבי;</w:t>
      </w:r>
    </w:p>
    <w:p w:rsidR="005339E7" w:rsidRDefault="005339E7" w:rsidP="00303B03">
      <w:pPr>
        <w:pStyle w:val="ad"/>
        <w:numPr>
          <w:ilvl w:val="0"/>
          <w:numId w:val="2"/>
        </w:numPr>
        <w:spacing w:after="120" w:line="360" w:lineRule="auto"/>
        <w:ind w:left="1077"/>
        <w:jc w:val="both"/>
        <w:rPr>
          <w:rFonts w:ascii="Arial" w:hAnsi="Arial"/>
          <w:noProof w:val="0"/>
        </w:rPr>
      </w:pPr>
      <w:r>
        <w:rPr>
          <w:rFonts w:ascii="Arial" w:hAnsi="Arial"/>
          <w:noProof w:val="0"/>
          <w:rtl/>
        </w:rPr>
        <w:t>ההכרעה בפלוגתא הייתה חיונית לצורך פסק הדין הראשון.</w:t>
      </w:r>
    </w:p>
    <w:p w:rsidR="00303B03" w:rsidRDefault="00303B03" w:rsidP="00303B03">
      <w:pPr>
        <w:pStyle w:val="ad"/>
        <w:spacing w:after="120" w:line="360" w:lineRule="auto"/>
        <w:ind w:left="1077"/>
        <w:jc w:val="both"/>
        <w:rPr>
          <w:rFonts w:ascii="Arial" w:hAnsi="Arial"/>
          <w:noProof w:val="0"/>
        </w:rPr>
      </w:pPr>
    </w:p>
    <w:p w:rsidR="005339E7" w:rsidRDefault="005339E7" w:rsidP="008B08AD">
      <w:pPr>
        <w:pStyle w:val="ad"/>
        <w:numPr>
          <w:ilvl w:val="0"/>
          <w:numId w:val="1"/>
        </w:numPr>
        <w:spacing w:after="160" w:line="360" w:lineRule="auto"/>
        <w:ind w:left="708" w:hanging="498"/>
        <w:contextualSpacing w:val="0"/>
        <w:jc w:val="both"/>
        <w:rPr>
          <w:rFonts w:ascii="Arial" w:hAnsi="Arial"/>
          <w:noProof w:val="0"/>
        </w:rPr>
      </w:pPr>
      <w:r>
        <w:rPr>
          <w:rFonts w:ascii="Arial" w:hAnsi="Arial"/>
          <w:noProof w:val="0"/>
          <w:rtl/>
        </w:rPr>
        <w:t>בחינת שני כתבי התביעה, בתביעה לדמי שימוש ובהליך דנן, מעלה</w:t>
      </w:r>
      <w:r w:rsidR="00E758BA">
        <w:rPr>
          <w:rFonts w:ascii="Arial" w:hAnsi="Arial" w:hint="cs"/>
          <w:noProof w:val="0"/>
          <w:rtl/>
        </w:rPr>
        <w:t xml:space="preserve"> אמנם</w:t>
      </w:r>
      <w:r>
        <w:rPr>
          <w:rFonts w:ascii="Arial" w:hAnsi="Arial"/>
          <w:noProof w:val="0"/>
          <w:rtl/>
        </w:rPr>
        <w:t xml:space="preserve"> שאין זהות מלאה בין בעלי הדין בכל אחד מההליכים. בעוד בהליך הקודם התביעה הוגשה על ידי הנתבעת בהליך זה כנגד התובעת וכנגד נתבעים נוספים- ילדיה של התובעת, בהליך הנוכחי התביעה הוגשה על ידי התובעת כנגד הנתבעת בלבד.</w:t>
      </w:r>
    </w:p>
    <w:p w:rsidR="006E3CE7" w:rsidRDefault="006E3CE7" w:rsidP="008B08AD">
      <w:pPr>
        <w:pStyle w:val="ad"/>
        <w:numPr>
          <w:ilvl w:val="0"/>
          <w:numId w:val="1"/>
        </w:numPr>
        <w:spacing w:after="160" w:line="360" w:lineRule="auto"/>
        <w:ind w:left="708" w:hanging="498"/>
        <w:contextualSpacing w:val="0"/>
        <w:jc w:val="both"/>
        <w:rPr>
          <w:rFonts w:ascii="Arial" w:hAnsi="Arial"/>
          <w:noProof w:val="0"/>
        </w:rPr>
      </w:pPr>
      <w:r>
        <w:rPr>
          <w:rFonts w:ascii="Arial" w:hAnsi="Arial" w:hint="cs"/>
          <w:noProof w:val="0"/>
          <w:rtl/>
        </w:rPr>
        <w:t>ואולם,</w:t>
      </w:r>
      <w:r>
        <w:rPr>
          <w:rFonts w:ascii="Arial" w:hAnsi="Arial"/>
          <w:noProof w:val="0"/>
          <w:rtl/>
        </w:rPr>
        <w:t xml:space="preserve"> העדר קיומה של זהות מוחלטת בין בעלי הדין בהליך הנוכחי ובהליך הקודם, אינו מונע את האפשרות להסתמך על השתק פלוגתא במקרה שלפניי, הפועל לטובת הנתבעת ולחובת התובעת בהליך זה, שהיו צד להתדיינות הקודמת (ראו: ע"א 2576-03</w:t>
      </w:r>
      <w:r>
        <w:rPr>
          <w:rFonts w:ascii="Arial" w:hAnsi="Arial"/>
          <w:b/>
          <w:bCs/>
          <w:noProof w:val="0"/>
          <w:rtl/>
        </w:rPr>
        <w:t xml:space="preserve"> אהובה וינברג נ' האפוטרופוס לנכסי נפקדים</w:t>
      </w:r>
      <w:r>
        <w:rPr>
          <w:rFonts w:ascii="Arial" w:hAnsi="Arial"/>
          <w:noProof w:val="0"/>
          <w:rtl/>
        </w:rPr>
        <w:t> מיום 21.2.07 – פורסם בנבו).</w:t>
      </w:r>
    </w:p>
    <w:p w:rsidR="005339E7" w:rsidRDefault="005339E7" w:rsidP="008B08AD">
      <w:pPr>
        <w:pStyle w:val="ad"/>
        <w:numPr>
          <w:ilvl w:val="0"/>
          <w:numId w:val="1"/>
        </w:numPr>
        <w:spacing w:after="160" w:line="360" w:lineRule="auto"/>
        <w:ind w:left="708" w:hanging="498"/>
        <w:contextualSpacing w:val="0"/>
        <w:jc w:val="both"/>
        <w:rPr>
          <w:rFonts w:ascii="Arial" w:hAnsi="Arial"/>
          <w:noProof w:val="0"/>
        </w:rPr>
      </w:pPr>
      <w:r>
        <w:rPr>
          <w:rFonts w:ascii="Arial" w:hAnsi="Arial"/>
          <w:noProof w:val="0"/>
          <w:rtl/>
        </w:rPr>
        <w:t>השוני בין זהות בעלי הדין נעוץ קשר ישיר לעובדה שגם עילות התביעה שונות, למרות שיש חפיפה מהותית בין עובדות שתי התביעות. בהליך הקודם עתרה הנתבעת בהליך זה לחיוב התובעת בדמי שימוש מכוח מחצית בעלותה בדירה. לעומת זאת, בתביעה הנוכחית עותרת התובעת לסעד הצהרתי לפיו הדירה אינה כלולה בע</w:t>
      </w:r>
      <w:r w:rsidR="004A1FD9">
        <w:rPr>
          <w:rFonts w:ascii="Arial" w:hAnsi="Arial" w:hint="cs"/>
          <w:noProof w:val="0"/>
          <w:rtl/>
        </w:rPr>
        <w:t>י</w:t>
      </w:r>
      <w:r>
        <w:rPr>
          <w:rFonts w:ascii="Arial" w:hAnsi="Arial"/>
          <w:noProof w:val="0"/>
          <w:rtl/>
        </w:rPr>
        <w:t xml:space="preserve">זבון המנוח ומכאן שהיא בעלת הזכויות הבלעדית בדירה. </w:t>
      </w:r>
    </w:p>
    <w:p w:rsidR="005339E7" w:rsidRDefault="006E3CE7" w:rsidP="008B08AD">
      <w:pPr>
        <w:pStyle w:val="ad"/>
        <w:numPr>
          <w:ilvl w:val="0"/>
          <w:numId w:val="1"/>
        </w:numPr>
        <w:spacing w:after="160" w:line="360" w:lineRule="auto"/>
        <w:ind w:left="708" w:hanging="498"/>
        <w:contextualSpacing w:val="0"/>
        <w:jc w:val="both"/>
        <w:rPr>
          <w:rFonts w:ascii="Arial" w:hAnsi="Arial"/>
          <w:noProof w:val="0"/>
        </w:rPr>
      </w:pPr>
      <w:r>
        <w:rPr>
          <w:rFonts w:ascii="Arial" w:hAnsi="Arial" w:hint="cs"/>
          <w:noProof w:val="0"/>
          <w:rtl/>
        </w:rPr>
        <w:t xml:space="preserve">אלא שגם </w:t>
      </w:r>
      <w:r>
        <w:rPr>
          <w:rFonts w:ascii="Arial" w:hAnsi="Arial"/>
          <w:noProof w:val="0"/>
          <w:rtl/>
        </w:rPr>
        <w:t>השוני בעילות התביעה</w:t>
      </w:r>
      <w:r>
        <w:rPr>
          <w:rFonts w:ascii="Arial" w:hAnsi="Arial" w:hint="cs"/>
          <w:noProof w:val="0"/>
          <w:rtl/>
        </w:rPr>
        <w:t xml:space="preserve"> </w:t>
      </w:r>
      <w:r w:rsidR="005339E7">
        <w:rPr>
          <w:rFonts w:ascii="Arial" w:hAnsi="Arial"/>
          <w:noProof w:val="0"/>
          <w:rtl/>
        </w:rPr>
        <w:t>אינו מגן על התובעת מפני קבלת טענת השתק פלוגתא ומעשה בית דין בעניין המחלוקת שבינה לבין הנתבעת</w:t>
      </w:r>
      <w:r w:rsidR="00E758BA">
        <w:rPr>
          <w:rFonts w:ascii="Arial" w:hAnsi="Arial" w:hint="cs"/>
          <w:noProof w:val="0"/>
          <w:rtl/>
        </w:rPr>
        <w:t>,</w:t>
      </w:r>
      <w:r w:rsidR="005339E7">
        <w:rPr>
          <w:rFonts w:ascii="Arial" w:hAnsi="Arial"/>
          <w:noProof w:val="0"/>
          <w:rtl/>
        </w:rPr>
        <w:t xml:space="preserve"> בכל הנוגע לזכויות הצדדים בדירה, כפי שיפורט להלן.</w:t>
      </w:r>
    </w:p>
    <w:p w:rsidR="005339E7" w:rsidRDefault="005339E7" w:rsidP="00641071">
      <w:pPr>
        <w:pStyle w:val="ad"/>
        <w:numPr>
          <w:ilvl w:val="0"/>
          <w:numId w:val="1"/>
        </w:numPr>
        <w:spacing w:after="160" w:line="360" w:lineRule="auto"/>
        <w:ind w:left="708" w:hanging="498"/>
        <w:contextualSpacing w:val="0"/>
        <w:jc w:val="both"/>
        <w:rPr>
          <w:rFonts w:ascii="Arial" w:hAnsi="Arial"/>
          <w:noProof w:val="0"/>
        </w:rPr>
      </w:pPr>
      <w:r>
        <w:rPr>
          <w:rFonts w:ascii="Arial" w:hAnsi="Arial"/>
          <w:noProof w:val="0"/>
          <w:rtl/>
        </w:rPr>
        <w:t>המכנה המשותף של שתי התביעות הוא שבשתיהן נתבע סעד שהוא תולדה של טענות הדדיות בדבר זכויות בעלות בדירה ב</w:t>
      </w:r>
      <w:r w:rsidR="00641071">
        <w:rPr>
          <w:rFonts w:ascii="Arial" w:hAnsi="Arial"/>
          <w:noProof w:val="0"/>
        </w:rPr>
        <w:t>xxxx</w:t>
      </w:r>
      <w:r>
        <w:rPr>
          <w:rFonts w:ascii="Arial" w:hAnsi="Arial"/>
          <w:noProof w:val="0"/>
          <w:rtl/>
        </w:rPr>
        <w:t xml:space="preserve">. בהליך הקודם ביקשה הנתבעת (בהליך זה) להורות על חיוב התובעת </w:t>
      </w:r>
      <w:r w:rsidR="002778FA">
        <w:rPr>
          <w:rFonts w:ascii="Arial" w:hAnsi="Arial" w:hint="cs"/>
          <w:noProof w:val="0"/>
          <w:rtl/>
        </w:rPr>
        <w:t>וילדיה</w:t>
      </w:r>
      <w:r>
        <w:rPr>
          <w:rFonts w:ascii="Arial" w:hAnsi="Arial"/>
          <w:noProof w:val="0"/>
          <w:rtl/>
        </w:rPr>
        <w:t xml:space="preserve"> בדמי שימוש, מכוח בעלותה במחצית הזכויות בדירה, שהועברה מהמנוח אליה כיורשת שבאה בנעליו, ע"פ צוואת המנוח שקוימה.</w:t>
      </w:r>
    </w:p>
    <w:p w:rsidR="005339E7" w:rsidRDefault="005339E7" w:rsidP="008B08AD">
      <w:pPr>
        <w:pStyle w:val="ad"/>
        <w:numPr>
          <w:ilvl w:val="0"/>
          <w:numId w:val="1"/>
        </w:numPr>
        <w:spacing w:after="160" w:line="360" w:lineRule="auto"/>
        <w:ind w:left="708" w:hanging="498"/>
        <w:contextualSpacing w:val="0"/>
        <w:jc w:val="both"/>
        <w:rPr>
          <w:rFonts w:ascii="Arial" w:hAnsi="Arial"/>
          <w:noProof w:val="0"/>
        </w:rPr>
      </w:pPr>
      <w:r>
        <w:rPr>
          <w:rFonts w:ascii="Arial" w:hAnsi="Arial"/>
          <w:noProof w:val="0"/>
          <w:rtl/>
        </w:rPr>
        <w:t xml:space="preserve">השוואה של טענות התובעת בהליך הקודם להליך הנוכחי, מעלה שהיא טוענת נגד בעלותה של הנתבעת (בהליך זה) במחצית הזכויות </w:t>
      </w:r>
      <w:r w:rsidR="00B33049">
        <w:rPr>
          <w:rFonts w:ascii="Arial" w:hAnsi="Arial"/>
          <w:noProof w:val="0"/>
          <w:rtl/>
        </w:rPr>
        <w:t>בדירה, בדיוק על יסוד אותן טענות</w:t>
      </w:r>
      <w:r>
        <w:rPr>
          <w:rFonts w:ascii="Arial" w:hAnsi="Arial"/>
          <w:noProof w:val="0"/>
          <w:rtl/>
        </w:rPr>
        <w:t xml:space="preserve"> שנטענו בהליך הקודם לדמי שימוש, לרבות ביחס לרישום שגוי ומוטעה על סמך צו קיום צוואה שלטענתה אינה כוללת את הדירה ברכוש המנוח, וכן אודות אותו הסכם המאוחר שבין התובעת למנוח, </w:t>
      </w:r>
      <w:r>
        <w:rPr>
          <w:rFonts w:ascii="Arial" w:hAnsi="Arial"/>
          <w:noProof w:val="0"/>
          <w:rtl/>
        </w:rPr>
        <w:lastRenderedPageBreak/>
        <w:t>כפי שטענה בהליך הקודם (ראו סעיפים לכתב ההגנה; סעיפים 21-9 לתע"ר הנתבעת (התובעת בהליך זה) מיום 28.04.20, עמ' 20).</w:t>
      </w:r>
    </w:p>
    <w:p w:rsidR="005339E7" w:rsidRDefault="005339E7" w:rsidP="008B08AD">
      <w:pPr>
        <w:pStyle w:val="ad"/>
        <w:numPr>
          <w:ilvl w:val="0"/>
          <w:numId w:val="1"/>
        </w:numPr>
        <w:spacing w:after="160" w:line="360" w:lineRule="auto"/>
        <w:ind w:left="708" w:hanging="498"/>
        <w:contextualSpacing w:val="0"/>
        <w:jc w:val="both"/>
        <w:rPr>
          <w:rFonts w:ascii="Arial" w:hAnsi="Arial"/>
          <w:noProof w:val="0"/>
        </w:rPr>
      </w:pPr>
      <w:r>
        <w:rPr>
          <w:rFonts w:ascii="Arial" w:hAnsi="Arial"/>
          <w:noProof w:val="0"/>
          <w:rtl/>
        </w:rPr>
        <w:t>יוצא אפוא כי בשני ההליכים עומדת להכרעה פלוגתא זהה כלפי הנתבעת והיא שאלת זכויותיה בדירה ב</w:t>
      </w:r>
      <w:r w:rsidR="00641071">
        <w:rPr>
          <w:rFonts w:ascii="Arial" w:hAnsi="Arial"/>
          <w:noProof w:val="0"/>
        </w:rPr>
        <w:t>xxxx</w:t>
      </w:r>
      <w:r>
        <w:rPr>
          <w:rFonts w:ascii="Arial" w:hAnsi="Arial"/>
          <w:noProof w:val="0"/>
          <w:rtl/>
        </w:rPr>
        <w:t>, לרבות טענת התובעת לרישום שגוי על סמך צו קיום צוואה שאינה כוללת את הדירה ברכוש המנוח, וכן אודות אותו הסכם מאוחר שבין התובעת למנוח.</w:t>
      </w:r>
    </w:p>
    <w:p w:rsidR="00E758BA" w:rsidRDefault="005339E7" w:rsidP="00153DA4">
      <w:pPr>
        <w:pStyle w:val="ad"/>
        <w:numPr>
          <w:ilvl w:val="0"/>
          <w:numId w:val="1"/>
        </w:numPr>
        <w:spacing w:after="160" w:line="360" w:lineRule="auto"/>
        <w:ind w:left="708" w:hanging="498"/>
        <w:contextualSpacing w:val="0"/>
        <w:jc w:val="both"/>
        <w:rPr>
          <w:rFonts w:ascii="Arial" w:hAnsi="Arial"/>
          <w:noProof w:val="0"/>
        </w:rPr>
      </w:pPr>
      <w:r>
        <w:rPr>
          <w:rFonts w:ascii="Arial" w:hAnsi="Arial"/>
          <w:noProof w:val="0"/>
          <w:rtl/>
        </w:rPr>
        <w:t>הפלוגתא המשותפת בין התובעת לבין הנתבעת, זו שעמדה להכרעה בהליך הקודם ועומדת גם עתה במחלוקת, נו</w:t>
      </w:r>
      <w:r w:rsidR="00E758BA">
        <w:rPr>
          <w:rFonts w:ascii="Arial" w:hAnsi="Arial"/>
          <w:noProof w:val="0"/>
          <w:rtl/>
        </w:rPr>
        <w:t>געת לאותה מערכת עובדתית</w:t>
      </w:r>
      <w:r w:rsidR="00E758BA">
        <w:rPr>
          <w:rFonts w:ascii="Arial" w:hAnsi="Arial" w:hint="cs"/>
          <w:noProof w:val="0"/>
          <w:rtl/>
        </w:rPr>
        <w:t xml:space="preserve"> </w:t>
      </w:r>
      <w:r w:rsidR="00E758BA">
        <w:rPr>
          <w:rFonts w:ascii="Arial" w:hAnsi="Arial"/>
          <w:noProof w:val="0"/>
          <w:rtl/>
        </w:rPr>
        <w:t>משפחתית ביחס לשאלת הבעלות בדירה ב</w:t>
      </w:r>
      <w:r w:rsidR="00641071">
        <w:rPr>
          <w:rFonts w:ascii="Arial" w:hAnsi="Arial"/>
          <w:noProof w:val="0"/>
        </w:rPr>
        <w:t>xxxx</w:t>
      </w:r>
      <w:r>
        <w:rPr>
          <w:rFonts w:ascii="Arial" w:hAnsi="Arial"/>
          <w:noProof w:val="0"/>
          <w:rtl/>
        </w:rPr>
        <w:t xml:space="preserve">. </w:t>
      </w:r>
    </w:p>
    <w:p w:rsidR="005339E7" w:rsidRDefault="005339E7" w:rsidP="00153DA4">
      <w:pPr>
        <w:pStyle w:val="ad"/>
        <w:numPr>
          <w:ilvl w:val="0"/>
          <w:numId w:val="1"/>
        </w:numPr>
        <w:spacing w:after="160" w:line="360" w:lineRule="auto"/>
        <w:ind w:left="708" w:hanging="498"/>
        <w:contextualSpacing w:val="0"/>
        <w:jc w:val="both"/>
        <w:rPr>
          <w:rFonts w:ascii="Arial" w:hAnsi="Arial"/>
          <w:noProof w:val="0"/>
        </w:rPr>
      </w:pPr>
      <w:r>
        <w:rPr>
          <w:rFonts w:ascii="Arial" w:hAnsi="Arial"/>
          <w:noProof w:val="0"/>
          <w:rtl/>
        </w:rPr>
        <w:t>במסגרת ההליך הקודם התקיימה התדיינות ביחס לפלוגתא זו לגופה, הוגשו תצהירי עדות ראשית, נשמעו ראיות הצדדים וכן סיכומיהם בעל פה, בעקבותיהם הוכרעה הפלוגתא הנ"ל בפסק הדין מיום 18.06.20.</w:t>
      </w:r>
    </w:p>
    <w:p w:rsidR="005339E7" w:rsidRDefault="005339E7" w:rsidP="00153DA4">
      <w:pPr>
        <w:pStyle w:val="ad"/>
        <w:numPr>
          <w:ilvl w:val="0"/>
          <w:numId w:val="1"/>
        </w:numPr>
        <w:spacing w:after="160" w:line="360" w:lineRule="auto"/>
        <w:ind w:left="708" w:hanging="498"/>
        <w:contextualSpacing w:val="0"/>
        <w:jc w:val="both"/>
        <w:rPr>
          <w:rFonts w:ascii="Arial" w:hAnsi="Arial"/>
          <w:noProof w:val="0"/>
        </w:rPr>
      </w:pPr>
      <w:r>
        <w:rPr>
          <w:rFonts w:ascii="Arial" w:hAnsi="Arial"/>
          <w:noProof w:val="0"/>
          <w:rtl/>
        </w:rPr>
        <w:t xml:space="preserve">התובעת </w:t>
      </w:r>
      <w:r w:rsidR="00C16687">
        <w:rPr>
          <w:rFonts w:ascii="Arial" w:hAnsi="Arial" w:hint="cs"/>
          <w:noProof w:val="0"/>
          <w:rtl/>
        </w:rPr>
        <w:t xml:space="preserve">כאמור </w:t>
      </w:r>
      <w:r>
        <w:rPr>
          <w:rFonts w:ascii="Arial" w:hAnsi="Arial"/>
          <w:noProof w:val="0"/>
          <w:rtl/>
        </w:rPr>
        <w:t xml:space="preserve">סומכת ידיה על הטענה שבהליך הקודם בית המשפט יצא מנקודת הנחה שצוואת המנוח חלה לגבי הדירה ולכן מחצית הזכויות בה נרשמו בטאבו על שם הנתבעת (25.02.21, עמ' 3 ש' 29-28). </w:t>
      </w:r>
    </w:p>
    <w:p w:rsidR="005339E7" w:rsidRDefault="005339E7" w:rsidP="00153DA4">
      <w:pPr>
        <w:pStyle w:val="ad"/>
        <w:numPr>
          <w:ilvl w:val="0"/>
          <w:numId w:val="1"/>
        </w:numPr>
        <w:spacing w:after="160" w:line="360" w:lineRule="auto"/>
        <w:ind w:left="708" w:hanging="498"/>
        <w:contextualSpacing w:val="0"/>
        <w:jc w:val="both"/>
        <w:rPr>
          <w:rFonts w:ascii="Arial" w:hAnsi="Arial"/>
          <w:noProof w:val="0"/>
        </w:rPr>
      </w:pPr>
      <w:r>
        <w:rPr>
          <w:rFonts w:ascii="Arial" w:hAnsi="Arial"/>
          <w:noProof w:val="0"/>
          <w:rtl/>
        </w:rPr>
        <w:t>אין מקום לקבל טענה זו. בהליך הקודם בו ניתן פסק דין, טענותיה של התובעת (בהליך זה) בנוגע לאי הכללת הדירה ברכושו של המנוח היו ידועות לבית המשפט ונשקל</w:t>
      </w:r>
      <w:r w:rsidR="0081763D">
        <w:rPr>
          <w:rFonts w:ascii="Arial" w:hAnsi="Arial"/>
          <w:noProof w:val="0"/>
          <w:rtl/>
        </w:rPr>
        <w:t xml:space="preserve">ו בהתאם. הצדדים אף נחקרו אודות </w:t>
      </w:r>
      <w:r>
        <w:rPr>
          <w:rFonts w:ascii="Arial" w:hAnsi="Arial"/>
          <w:noProof w:val="0"/>
          <w:rtl/>
        </w:rPr>
        <w:t xml:space="preserve">טענות אלו </w:t>
      </w:r>
      <w:r w:rsidR="00CB6A07">
        <w:rPr>
          <w:rFonts w:ascii="Arial" w:hAnsi="Arial" w:hint="cs"/>
          <w:noProof w:val="0"/>
          <w:rtl/>
        </w:rPr>
        <w:t>והתייחסו אליהן</w:t>
      </w:r>
      <w:r>
        <w:rPr>
          <w:rFonts w:ascii="Arial" w:hAnsi="Arial"/>
          <w:noProof w:val="0"/>
          <w:rtl/>
        </w:rPr>
        <w:t xml:space="preserve"> בסיכומיהם.</w:t>
      </w:r>
    </w:p>
    <w:p w:rsidR="00E758BA" w:rsidRDefault="00E758BA" w:rsidP="00153DA4">
      <w:pPr>
        <w:pStyle w:val="ad"/>
        <w:numPr>
          <w:ilvl w:val="0"/>
          <w:numId w:val="1"/>
        </w:numPr>
        <w:spacing w:after="160" w:line="360" w:lineRule="auto"/>
        <w:ind w:left="708" w:hanging="498"/>
        <w:contextualSpacing w:val="0"/>
        <w:jc w:val="both"/>
        <w:rPr>
          <w:rFonts w:ascii="Arial" w:hAnsi="Arial"/>
          <w:noProof w:val="0"/>
        </w:rPr>
      </w:pPr>
      <w:r>
        <w:rPr>
          <w:rFonts w:ascii="Arial" w:hAnsi="Arial" w:hint="cs"/>
          <w:noProof w:val="0"/>
          <w:rtl/>
        </w:rPr>
        <w:t xml:space="preserve">אמנם </w:t>
      </w:r>
      <w:r>
        <w:rPr>
          <w:rFonts w:ascii="Arial" w:hAnsi="Arial"/>
          <w:noProof w:val="0"/>
          <w:rtl/>
        </w:rPr>
        <w:t>הסעד שהתבקש</w:t>
      </w:r>
      <w:r>
        <w:rPr>
          <w:rFonts w:ascii="Arial" w:hAnsi="Arial" w:hint="cs"/>
          <w:noProof w:val="0"/>
          <w:rtl/>
        </w:rPr>
        <w:t xml:space="preserve"> בהליך הקודם על ידי הנתבעת בהליך זה</w:t>
      </w:r>
      <w:r>
        <w:rPr>
          <w:rFonts w:ascii="Arial" w:hAnsi="Arial"/>
          <w:noProof w:val="0"/>
          <w:rtl/>
        </w:rPr>
        <w:t xml:space="preserve"> נגע דמי שימוש של התובעת ובנה בגין השימוש בדירה. אולם לטובת </w:t>
      </w:r>
      <w:r>
        <w:rPr>
          <w:rFonts w:ascii="Arial" w:hAnsi="Arial" w:hint="cs"/>
          <w:noProof w:val="0"/>
          <w:rtl/>
        </w:rPr>
        <w:t>ה</w:t>
      </w:r>
      <w:r>
        <w:rPr>
          <w:rFonts w:ascii="Arial" w:hAnsi="Arial"/>
          <w:noProof w:val="0"/>
          <w:rtl/>
        </w:rPr>
        <w:t xml:space="preserve">הכרעה בסעד זה, נדרשתי לדון בטענות התובעת (בהליך זה) לעניין זכותה הנטענת לבעלות מלאה בדירה, אשר הן אותן טענות בדיוק ביחס לסעד ההצהרתי לביטול זכויותיה של הנתבעת בדירה. </w:t>
      </w:r>
    </w:p>
    <w:p w:rsidR="00E758BA" w:rsidRPr="00E85F8B" w:rsidRDefault="00E758BA" w:rsidP="00153DA4">
      <w:pPr>
        <w:pStyle w:val="ad"/>
        <w:numPr>
          <w:ilvl w:val="0"/>
          <w:numId w:val="1"/>
        </w:numPr>
        <w:spacing w:after="160" w:line="360" w:lineRule="auto"/>
        <w:ind w:left="708" w:hanging="498"/>
        <w:contextualSpacing w:val="0"/>
        <w:jc w:val="both"/>
        <w:rPr>
          <w:rFonts w:ascii="Arial" w:hAnsi="Arial"/>
          <w:noProof w:val="0"/>
        </w:rPr>
      </w:pPr>
      <w:r>
        <w:rPr>
          <w:rFonts w:ascii="Arial" w:hAnsi="Arial"/>
          <w:noProof w:val="0"/>
          <w:rtl/>
        </w:rPr>
        <w:t xml:space="preserve">בסופו </w:t>
      </w:r>
      <w:r w:rsidRPr="00E85F8B">
        <w:rPr>
          <w:rFonts w:ascii="Arial" w:hAnsi="Arial"/>
          <w:noProof w:val="0"/>
          <w:rtl/>
        </w:rPr>
        <w:t xml:space="preserve">של דבר בפסק הדין מיום 18.06.20, קיבלתי את גרסת הנתבעת (בהליך זה) לעניין זכויותיה בדירה מכוח צוואת המנוח, תוך דחיית גרסת התובעת בנוגע לאי </w:t>
      </w:r>
      <w:r w:rsidR="00B865E8">
        <w:rPr>
          <w:rFonts w:ascii="Arial" w:hAnsi="Arial"/>
          <w:noProof w:val="0"/>
          <w:rtl/>
        </w:rPr>
        <w:t>זכויותיה של הנתבעת בדירה ב</w:t>
      </w:r>
      <w:r w:rsidR="00641071">
        <w:rPr>
          <w:rFonts w:ascii="Arial" w:hAnsi="Arial"/>
          <w:noProof w:val="0"/>
        </w:rPr>
        <w:t>xxxx</w:t>
      </w:r>
      <w:r w:rsidR="00B865E8">
        <w:rPr>
          <w:rFonts w:ascii="Arial" w:hAnsi="Arial" w:hint="cs"/>
          <w:noProof w:val="0"/>
          <w:rtl/>
        </w:rPr>
        <w:t xml:space="preserve">. </w:t>
      </w:r>
      <w:r w:rsidR="00B865E8">
        <w:rPr>
          <w:rFonts w:ascii="Arial" w:hAnsi="Arial"/>
          <w:noProof w:val="0"/>
          <w:rtl/>
        </w:rPr>
        <w:t>כפועל יוצא אין בסיס לטענת התובעת לפיה לא נקבעו ממצאים עובדתיים בעניין זה בהליך הקודם</w:t>
      </w:r>
      <w:r w:rsidR="006B6C04">
        <w:rPr>
          <w:rFonts w:ascii="Arial" w:hAnsi="Arial" w:hint="cs"/>
          <w:noProof w:val="0"/>
          <w:rtl/>
        </w:rPr>
        <w:t>.</w:t>
      </w:r>
    </w:p>
    <w:p w:rsidR="005339E7" w:rsidRDefault="005339E7" w:rsidP="00153DA4">
      <w:pPr>
        <w:pStyle w:val="ad"/>
        <w:numPr>
          <w:ilvl w:val="0"/>
          <w:numId w:val="1"/>
        </w:numPr>
        <w:spacing w:after="160" w:line="360" w:lineRule="auto"/>
        <w:ind w:left="708" w:hanging="498"/>
        <w:contextualSpacing w:val="0"/>
        <w:jc w:val="both"/>
        <w:rPr>
          <w:rFonts w:ascii="Arial" w:hAnsi="Arial"/>
          <w:noProof w:val="0"/>
        </w:rPr>
      </w:pPr>
      <w:r>
        <w:rPr>
          <w:rFonts w:ascii="Arial" w:hAnsi="Arial"/>
          <w:noProof w:val="0"/>
          <w:rtl/>
        </w:rPr>
        <w:t>טענות התובעת לעניין אי הכללת הדירה ב</w:t>
      </w:r>
      <w:r w:rsidR="00641071">
        <w:rPr>
          <w:rFonts w:ascii="Arial" w:hAnsi="Arial"/>
          <w:noProof w:val="0"/>
        </w:rPr>
        <w:t>xxxx</w:t>
      </w:r>
      <w:r>
        <w:rPr>
          <w:rFonts w:ascii="Arial" w:hAnsi="Arial"/>
          <w:noProof w:val="0"/>
          <w:rtl/>
        </w:rPr>
        <w:t xml:space="preserve"> ברכושו של המנוח ע"פ הצוואה, </w:t>
      </w:r>
      <w:r w:rsidR="00E758BA">
        <w:rPr>
          <w:rFonts w:ascii="Arial" w:hAnsi="Arial"/>
          <w:noProof w:val="0"/>
          <w:rtl/>
        </w:rPr>
        <w:t>נדחו</w:t>
      </w:r>
      <w:r w:rsidR="00B865E8">
        <w:rPr>
          <w:rFonts w:ascii="Arial" w:hAnsi="Arial" w:hint="cs"/>
          <w:noProof w:val="0"/>
          <w:rtl/>
        </w:rPr>
        <w:t>,</w:t>
      </w:r>
      <w:r w:rsidR="00E758BA">
        <w:rPr>
          <w:rFonts w:ascii="Arial" w:hAnsi="Arial"/>
          <w:noProof w:val="0"/>
          <w:rtl/>
        </w:rPr>
        <w:t xml:space="preserve"> </w:t>
      </w:r>
      <w:r>
        <w:rPr>
          <w:rFonts w:ascii="Arial" w:hAnsi="Arial"/>
          <w:noProof w:val="0"/>
          <w:rtl/>
        </w:rPr>
        <w:t>תוך קביעה פוזיטיבית בדבר העדפת גרסת הנתבעת (בהליך זה) לעניין זכויותיה בדירה מכוח צוואת המנוח.</w:t>
      </w:r>
      <w:r w:rsidR="00B865E8">
        <w:rPr>
          <w:rFonts w:ascii="Arial" w:hAnsi="Arial" w:hint="cs"/>
          <w:noProof w:val="0"/>
          <w:rtl/>
        </w:rPr>
        <w:t xml:space="preserve"> ע</w:t>
      </w:r>
      <w:r w:rsidR="00B865E8" w:rsidRPr="00E85F8B">
        <w:rPr>
          <w:rFonts w:ascii="Arial" w:hAnsi="Arial"/>
          <w:noProof w:val="0"/>
          <w:rtl/>
        </w:rPr>
        <w:t>תה</w:t>
      </w:r>
      <w:r w:rsidR="00B865E8" w:rsidRPr="00E85F8B">
        <w:rPr>
          <w:rFonts w:ascii="David" w:hAnsi="David"/>
          <w:rtl/>
        </w:rPr>
        <w:t xml:space="preserve"> התובעת מנסה למחזר טענות אלו במסגרת ההליך הנוכחי, ונסיון זה יש לדחות.</w:t>
      </w:r>
    </w:p>
    <w:p w:rsidR="005339E7" w:rsidRDefault="0033385A" w:rsidP="00153DA4">
      <w:pPr>
        <w:pStyle w:val="ad"/>
        <w:numPr>
          <w:ilvl w:val="0"/>
          <w:numId w:val="1"/>
        </w:numPr>
        <w:spacing w:after="160" w:line="360" w:lineRule="auto"/>
        <w:ind w:left="708" w:hanging="498"/>
        <w:contextualSpacing w:val="0"/>
        <w:jc w:val="both"/>
        <w:rPr>
          <w:rFonts w:ascii="Arial" w:hAnsi="Arial"/>
          <w:noProof w:val="0"/>
        </w:rPr>
      </w:pPr>
      <w:r>
        <w:rPr>
          <w:rFonts w:ascii="Arial" w:hAnsi="Arial"/>
          <w:noProof w:val="0"/>
          <w:rtl/>
        </w:rPr>
        <w:lastRenderedPageBreak/>
        <w:t xml:space="preserve">בפסק הדין </w:t>
      </w:r>
      <w:r>
        <w:rPr>
          <w:rFonts w:ascii="Arial" w:hAnsi="Arial" w:hint="cs"/>
          <w:noProof w:val="0"/>
          <w:rtl/>
        </w:rPr>
        <w:t>בהליך הקודם נ</w:t>
      </w:r>
      <w:r w:rsidR="005339E7">
        <w:rPr>
          <w:rFonts w:ascii="Arial" w:hAnsi="Arial"/>
          <w:noProof w:val="0"/>
          <w:rtl/>
        </w:rPr>
        <w:t xml:space="preserve">יתנו הכרעות מהותיות בנוגע לזכויותיה של הנתבעת (בהליך זה) בדירה, ולפיכך נקבע כי הנתבעת זכאית לדמי שימוש שישולמו על ידי התובעת ובנה, מכוח בעלותה במחצית הזכויות הרשומות בדירה כאמור. </w:t>
      </w:r>
    </w:p>
    <w:p w:rsidR="005339E7" w:rsidRDefault="005339E7" w:rsidP="005339E7">
      <w:pPr>
        <w:spacing w:after="120" w:line="360" w:lineRule="auto"/>
        <w:ind w:left="720"/>
        <w:jc w:val="both"/>
        <w:rPr>
          <w:rFonts w:ascii="Arial" w:hAnsi="Arial"/>
          <w:noProof w:val="0"/>
        </w:rPr>
      </w:pPr>
      <w:r>
        <w:rPr>
          <w:rFonts w:ascii="Arial" w:hAnsi="Arial"/>
          <w:noProof w:val="0"/>
          <w:rtl/>
        </w:rPr>
        <w:t>כך בין היתר נקבע בפסק הדין:</w:t>
      </w:r>
    </w:p>
    <w:p w:rsidR="005339E7" w:rsidRDefault="005339E7" w:rsidP="005339E7">
      <w:pPr>
        <w:spacing w:after="120" w:line="276" w:lineRule="auto"/>
        <w:ind w:left="720"/>
        <w:jc w:val="both"/>
        <w:rPr>
          <w:rFonts w:ascii="Arial" w:hAnsi="Arial"/>
          <w:b/>
          <w:bCs/>
          <w:noProof w:val="0"/>
        </w:rPr>
      </w:pPr>
      <w:r>
        <w:rPr>
          <w:rFonts w:ascii="Arial" w:hAnsi="Arial"/>
          <w:b/>
          <w:bCs/>
          <w:noProof w:val="0"/>
          <w:rtl/>
        </w:rPr>
        <w:t>"17. הנתבעים לא עמדו בנטל ולא הצליחו להוכיח כי הרישום אינו משקף את מצב הדברים, יתרה מזאת, הם אף לא עתרו לבית המשפט בבקשה להצהיר כי הנכס הוא בבעלות הנתבעת, וטענו זאת רק במסגרת כתב הגנתם מפני תביעת התובעת לדמי שימוש.</w:t>
      </w:r>
    </w:p>
    <w:p w:rsidR="005339E7" w:rsidRDefault="005339E7" w:rsidP="005339E7">
      <w:pPr>
        <w:spacing w:after="120" w:line="276" w:lineRule="auto"/>
        <w:ind w:left="720"/>
        <w:jc w:val="both"/>
        <w:rPr>
          <w:rFonts w:ascii="Arial" w:hAnsi="Arial"/>
          <w:b/>
          <w:bCs/>
          <w:noProof w:val="0"/>
        </w:rPr>
      </w:pPr>
      <w:r>
        <w:rPr>
          <w:rFonts w:ascii="Arial" w:hAnsi="Arial"/>
          <w:b/>
          <w:bCs/>
          <w:noProof w:val="0"/>
          <w:rtl/>
        </w:rPr>
        <w:t xml:space="preserve"> 18. על פי עדויות הנתבעים בכלל, והנתבעת והנתבע 1 בפרט, כולם ידעו שהסכם הגירושים קובע שהדירה נשוא תביעה זו תימכר ותחולק באופן שווה בין הצדדים, אלא אם כן, הנתבעת תרכוש את חלקו של המנוח לאחר שיאוזנו זכויותיו ביניהם, אלא שכולם בחרו לשתוק ולא לעשות דבר.</w:t>
      </w:r>
    </w:p>
    <w:p w:rsidR="005339E7" w:rsidRDefault="005339E7" w:rsidP="005339E7">
      <w:pPr>
        <w:spacing w:after="120" w:line="276" w:lineRule="auto"/>
        <w:ind w:left="720"/>
        <w:jc w:val="both"/>
        <w:rPr>
          <w:rFonts w:ascii="Arial" w:hAnsi="Arial"/>
          <w:b/>
          <w:bCs/>
          <w:noProof w:val="0"/>
        </w:rPr>
      </w:pPr>
      <w:r>
        <w:rPr>
          <w:rFonts w:ascii="Arial" w:hAnsi="Arial"/>
          <w:b/>
          <w:bCs/>
          <w:noProof w:val="0"/>
          <w:rtl/>
        </w:rPr>
        <w:t>...</w:t>
      </w:r>
    </w:p>
    <w:p w:rsidR="005339E7" w:rsidRDefault="005339E7" w:rsidP="005339E7">
      <w:pPr>
        <w:spacing w:after="120" w:line="276" w:lineRule="auto"/>
        <w:ind w:left="720"/>
        <w:jc w:val="both"/>
        <w:rPr>
          <w:rFonts w:ascii="Arial" w:hAnsi="Arial"/>
          <w:b/>
          <w:bCs/>
          <w:noProof w:val="0"/>
        </w:rPr>
      </w:pPr>
      <w:r>
        <w:rPr>
          <w:rFonts w:ascii="Arial" w:hAnsi="Arial"/>
          <w:b/>
          <w:bCs/>
          <w:noProof w:val="0"/>
          <w:rtl/>
        </w:rPr>
        <w:t>19. דווקא משום שהנתבעים ידעו על תוכן הסכם הגירושים, אם היתה הסכמה בעל פה אחרת, כפי טענתם, חזקה עליהם שהיו פועלים ללא לאות להעביר את זכויות המנוח על שם הנתבעת. משנמנעו מלפעול להעברת הזכויות, הדבר מדבר בעד עצמו.</w:t>
      </w:r>
    </w:p>
    <w:p w:rsidR="005339E7" w:rsidRDefault="005339E7" w:rsidP="005339E7">
      <w:pPr>
        <w:spacing w:after="120" w:line="276" w:lineRule="auto"/>
        <w:ind w:left="720"/>
        <w:jc w:val="both"/>
        <w:rPr>
          <w:rFonts w:ascii="Arial" w:hAnsi="Arial"/>
          <w:b/>
          <w:bCs/>
          <w:noProof w:val="0"/>
          <w:rtl/>
        </w:rPr>
      </w:pPr>
      <w:r>
        <w:rPr>
          <w:rFonts w:ascii="Arial" w:hAnsi="Arial"/>
          <w:b/>
          <w:bCs/>
          <w:noProof w:val="0"/>
          <w:rtl/>
        </w:rPr>
        <w:t>20. יתרה מזאת, הנתבעים, לא רק שלא פעלו להעברת הזכויות, אלא שלא פעלו בכלל. פשוט "שקטו על שמריהם" ולא עשו דבר.</w:t>
      </w:r>
    </w:p>
    <w:p w:rsidR="005339E7" w:rsidRDefault="005339E7" w:rsidP="005339E7">
      <w:pPr>
        <w:spacing w:after="120" w:line="276" w:lineRule="auto"/>
        <w:ind w:left="720"/>
        <w:jc w:val="both"/>
        <w:rPr>
          <w:rFonts w:ascii="Arial" w:hAnsi="Arial"/>
          <w:b/>
          <w:bCs/>
          <w:noProof w:val="0"/>
        </w:rPr>
      </w:pPr>
      <w:r>
        <w:rPr>
          <w:rFonts w:ascii="Arial" w:hAnsi="Arial"/>
          <w:b/>
          <w:bCs/>
          <w:noProof w:val="0"/>
          <w:rtl/>
        </w:rPr>
        <w:t>21. זאת ועוד, במסגרת התנגדותם של הנתבעים לקיום צוואת המנוח שנדונה בת"ע 40263-08-11 ות"ע 40338-08-11 הטענה על הסכם מאוחר שנוצר לכאורה בעל פה, כלל לא הועלתה.</w:t>
      </w:r>
    </w:p>
    <w:p w:rsidR="005339E7" w:rsidRDefault="005339E7" w:rsidP="005339E7">
      <w:pPr>
        <w:spacing w:after="120" w:line="276" w:lineRule="auto"/>
        <w:ind w:left="720"/>
        <w:jc w:val="both"/>
        <w:rPr>
          <w:rFonts w:ascii="Arial" w:hAnsi="Arial"/>
          <w:b/>
          <w:bCs/>
          <w:noProof w:val="0"/>
          <w:rtl/>
        </w:rPr>
      </w:pPr>
      <w:r>
        <w:rPr>
          <w:rFonts w:ascii="Arial" w:hAnsi="Arial"/>
          <w:b/>
          <w:bCs/>
          <w:noProof w:val="0"/>
          <w:rtl/>
        </w:rPr>
        <w:t>...</w:t>
      </w:r>
    </w:p>
    <w:p w:rsidR="005339E7" w:rsidRDefault="005339E7" w:rsidP="005339E7">
      <w:pPr>
        <w:spacing w:after="160" w:line="276" w:lineRule="auto"/>
        <w:ind w:left="720"/>
        <w:jc w:val="both"/>
        <w:rPr>
          <w:rFonts w:ascii="Arial" w:hAnsi="Arial"/>
          <w:b/>
          <w:bCs/>
          <w:noProof w:val="0"/>
          <w:rtl/>
        </w:rPr>
      </w:pPr>
      <w:r>
        <w:rPr>
          <w:rFonts w:ascii="Arial" w:hAnsi="Arial"/>
          <w:b/>
          <w:bCs/>
          <w:noProof w:val="0"/>
          <w:rtl/>
        </w:rPr>
        <w:t>27. כאמור, גם אילו הנתבעים היו מרימים את הנטל להוכיח כי בין הנתבעת למנוח התגבשה הסכמה חדשה על פיה, היא נשארת עם מלוא הזכויות בדירה ואילו המנוח עם מלוא זכויותיו הצבורות, הרי שהצדדים היו  מחויבים לאשר את השינוי בהסכם בערכאה שיפוטית ולתת לו תוקף של פסק דין, דבר שכאמור- לא קרה."</w:t>
      </w:r>
    </w:p>
    <w:p w:rsidR="005339E7" w:rsidRDefault="005339E7" w:rsidP="00153DA4">
      <w:pPr>
        <w:pStyle w:val="ad"/>
        <w:numPr>
          <w:ilvl w:val="0"/>
          <w:numId w:val="1"/>
        </w:numPr>
        <w:spacing w:after="160" w:line="360" w:lineRule="auto"/>
        <w:ind w:left="708" w:hanging="498"/>
        <w:contextualSpacing w:val="0"/>
        <w:jc w:val="both"/>
        <w:rPr>
          <w:rFonts w:ascii="Arial" w:hAnsi="Arial"/>
          <w:noProof w:val="0"/>
        </w:rPr>
      </w:pPr>
      <w:r>
        <w:rPr>
          <w:rFonts w:ascii="Arial" w:hAnsi="Arial"/>
          <w:noProof w:val="0"/>
          <w:rtl/>
        </w:rPr>
        <w:t>פסק הדין לעיל ובו קביעות מהותיות ומפורשות בנוגע לזכויות הנתבעת בדירה ב</w:t>
      </w:r>
      <w:r w:rsidR="00641071">
        <w:rPr>
          <w:rFonts w:ascii="Arial" w:hAnsi="Arial"/>
          <w:noProof w:val="0"/>
        </w:rPr>
        <w:t>xxxx</w:t>
      </w:r>
      <w:r>
        <w:rPr>
          <w:rFonts w:ascii="Arial" w:hAnsi="Arial"/>
          <w:noProof w:val="0"/>
          <w:rtl/>
        </w:rPr>
        <w:t>, מהווה מעשה בית דין סופי ומוחלט בעניין זה, והלכה למעשה מונע מהתובעת מלשוב ולהעלות טענות ממוחזרות הנוגעות להעדר זכויותיה של הנתבעת בדירה, בהליך דנן.</w:t>
      </w:r>
    </w:p>
    <w:p w:rsidR="005339E7" w:rsidRDefault="005339E7" w:rsidP="00153DA4">
      <w:pPr>
        <w:pStyle w:val="ad"/>
        <w:numPr>
          <w:ilvl w:val="0"/>
          <w:numId w:val="1"/>
        </w:numPr>
        <w:spacing w:after="160" w:line="360" w:lineRule="auto"/>
        <w:ind w:left="708" w:hanging="498"/>
        <w:contextualSpacing w:val="0"/>
        <w:jc w:val="both"/>
        <w:rPr>
          <w:rFonts w:ascii="Arial" w:hAnsi="Arial"/>
          <w:noProof w:val="0"/>
        </w:rPr>
      </w:pPr>
      <w:r>
        <w:rPr>
          <w:rFonts w:ascii="Arial" w:hAnsi="Arial"/>
          <w:noProof w:val="0"/>
          <w:rtl/>
        </w:rPr>
        <w:t xml:space="preserve">ודוק: ההכרעה בשאלת זכויות הנתבעת (בהליך זה) בדירה היתה חיונית לצורך מתן פסק הדין בהליך הקודם והכרעה בסעדים שהתבקשו שם לעניין חיוב התובעת ובנה בדמי שימוש, בגין חלקה של הנתבעת בדירה. </w:t>
      </w:r>
    </w:p>
    <w:p w:rsidR="005339E7" w:rsidRDefault="005339E7" w:rsidP="00153DA4">
      <w:pPr>
        <w:pStyle w:val="ad"/>
        <w:numPr>
          <w:ilvl w:val="0"/>
          <w:numId w:val="1"/>
        </w:numPr>
        <w:spacing w:after="160" w:line="360" w:lineRule="auto"/>
        <w:ind w:left="708" w:hanging="498"/>
        <w:contextualSpacing w:val="0"/>
        <w:jc w:val="both"/>
        <w:rPr>
          <w:rFonts w:ascii="Arial" w:hAnsi="Arial"/>
          <w:noProof w:val="0"/>
        </w:rPr>
      </w:pPr>
      <w:r>
        <w:rPr>
          <w:rFonts w:ascii="Arial" w:hAnsi="Arial"/>
          <w:noProof w:val="0"/>
          <w:rtl/>
        </w:rPr>
        <w:t>לתובעת ניתן יומה בבית המשפט במסגרת ההתדיינות הקודמת מול הנתבעת, והטענה כי ההכרעה בזכויות בעניין הדירה שלפניי מצריכה בירור עובדתי נוסף אינה נכונה, בהתחשב במחלוקת שכבר הוכרעה בין הצדדים. ברי כי ההליך הנוכחי אינו יכול להוות "מקצה שיפורים" להליך הקודם.</w:t>
      </w:r>
    </w:p>
    <w:p w:rsidR="005339E7" w:rsidRDefault="005339E7" w:rsidP="00153DA4">
      <w:pPr>
        <w:pStyle w:val="ad"/>
        <w:numPr>
          <w:ilvl w:val="0"/>
          <w:numId w:val="1"/>
        </w:numPr>
        <w:spacing w:after="160" w:line="360" w:lineRule="auto"/>
        <w:ind w:left="708" w:hanging="498"/>
        <w:contextualSpacing w:val="0"/>
        <w:jc w:val="both"/>
        <w:rPr>
          <w:rFonts w:ascii="Arial" w:hAnsi="Arial"/>
          <w:noProof w:val="0"/>
        </w:rPr>
      </w:pPr>
      <w:r>
        <w:rPr>
          <w:rFonts w:ascii="Arial" w:hAnsi="Arial"/>
          <w:noProof w:val="0"/>
          <w:rtl/>
        </w:rPr>
        <w:lastRenderedPageBreak/>
        <w:t>משניתן פסק דין סופי בהתדיינות בנוגע לבעלות הדירה, מקים פסק הדין מחסום דיוני לפני בעלי הדין, המונע כל התדיינות נוספת ביניהם בנושא או בשאלה שהוכרעו בפסק הדין (תמש (חי') 10640/02</w:t>
      </w:r>
      <w:r>
        <w:rPr>
          <w:rFonts w:ascii="Arial" w:hAnsi="Arial"/>
          <w:b/>
          <w:bCs/>
          <w:noProof w:val="0"/>
          <w:rtl/>
        </w:rPr>
        <w:t xml:space="preserve"> אביטן חביבה נ' אביטן אליהו).</w:t>
      </w:r>
    </w:p>
    <w:p w:rsidR="005339E7" w:rsidRDefault="005339E7" w:rsidP="00153DA4">
      <w:pPr>
        <w:pStyle w:val="ad"/>
        <w:numPr>
          <w:ilvl w:val="0"/>
          <w:numId w:val="1"/>
        </w:numPr>
        <w:spacing w:after="160" w:line="360" w:lineRule="auto"/>
        <w:ind w:left="708" w:hanging="498"/>
        <w:contextualSpacing w:val="0"/>
        <w:jc w:val="both"/>
        <w:rPr>
          <w:rFonts w:ascii="Arial" w:hAnsi="Arial"/>
          <w:noProof w:val="0"/>
        </w:rPr>
      </w:pPr>
      <w:r>
        <w:rPr>
          <w:rFonts w:ascii="Arial" w:hAnsi="Arial"/>
          <w:noProof w:val="0"/>
          <w:rtl/>
        </w:rPr>
        <w:t>כאמור התובעת אף נמנעה מלהגיש ראיות מטעמה להוכחת עילת התביעה בהליך הנוכחי, בניגוד להחלטת בית המשפט, אלא בחרה להגיש בקשה למתן צו לגילוי מסמכים בעניין נכסיו הכספיים של המנ</w:t>
      </w:r>
      <w:r w:rsidR="002E7DF3">
        <w:rPr>
          <w:rFonts w:ascii="Arial" w:hAnsi="Arial"/>
          <w:noProof w:val="0"/>
          <w:rtl/>
        </w:rPr>
        <w:t>וח, קרי- בקשה למתן חשבונות, ש</w:t>
      </w:r>
      <w:r w:rsidR="009E67C4">
        <w:rPr>
          <w:rFonts w:ascii="Arial" w:hAnsi="Arial" w:hint="cs"/>
          <w:noProof w:val="0"/>
          <w:rtl/>
        </w:rPr>
        <w:t>זהו</w:t>
      </w:r>
      <w:r>
        <w:rPr>
          <w:rFonts w:ascii="Arial" w:hAnsi="Arial"/>
          <w:noProof w:val="0"/>
          <w:rtl/>
        </w:rPr>
        <w:t xml:space="preserve"> הסעד המבוקש בתביעה </w:t>
      </w:r>
      <w:r w:rsidR="006E3CE7">
        <w:rPr>
          <w:rFonts w:ascii="Arial" w:hAnsi="Arial"/>
          <w:noProof w:val="0"/>
          <w:rtl/>
        </w:rPr>
        <w:t>העיקרית. מכאן שלתובעת אין ראיות</w:t>
      </w:r>
      <w:r>
        <w:rPr>
          <w:rFonts w:ascii="Arial" w:hAnsi="Arial"/>
          <w:noProof w:val="0"/>
          <w:rtl/>
        </w:rPr>
        <w:t xml:space="preserve"> כנגד הנתבעת במסגרת ההליך הנוכחי</w:t>
      </w:r>
      <w:r w:rsidR="006E3CE7">
        <w:rPr>
          <w:rFonts w:ascii="Arial" w:hAnsi="Arial" w:hint="cs"/>
          <w:noProof w:val="0"/>
          <w:rtl/>
        </w:rPr>
        <w:t>,</w:t>
      </w:r>
      <w:r>
        <w:rPr>
          <w:rFonts w:ascii="Arial" w:hAnsi="Arial"/>
          <w:noProof w:val="0"/>
          <w:rtl/>
        </w:rPr>
        <w:t xml:space="preserve"> </w:t>
      </w:r>
      <w:r w:rsidR="006E3CE7">
        <w:rPr>
          <w:rFonts w:ascii="Arial" w:hAnsi="Arial" w:hint="cs"/>
          <w:noProof w:val="0"/>
          <w:rtl/>
        </w:rPr>
        <w:t>לרבות</w:t>
      </w:r>
      <w:r>
        <w:rPr>
          <w:rFonts w:ascii="Arial" w:hAnsi="Arial"/>
          <w:noProof w:val="0"/>
          <w:rtl/>
        </w:rPr>
        <w:t xml:space="preserve"> ראיות שלא הוצגו על ידי התובעת בהליך הקודם, לטובת הוכחת פלוגתא שכבר הוכרעה בין הצדדים.</w:t>
      </w:r>
    </w:p>
    <w:p w:rsidR="005339E7" w:rsidRDefault="005339E7" w:rsidP="00153DA4">
      <w:pPr>
        <w:pStyle w:val="ad"/>
        <w:numPr>
          <w:ilvl w:val="0"/>
          <w:numId w:val="1"/>
        </w:numPr>
        <w:spacing w:after="160" w:line="360" w:lineRule="auto"/>
        <w:ind w:left="708" w:hanging="498"/>
        <w:contextualSpacing w:val="0"/>
        <w:jc w:val="both"/>
        <w:rPr>
          <w:rFonts w:ascii="Arial" w:hAnsi="Arial"/>
          <w:noProof w:val="0"/>
        </w:rPr>
      </w:pPr>
      <w:r>
        <w:rPr>
          <w:rFonts w:ascii="Arial" w:hAnsi="Arial"/>
          <w:noProof w:val="0"/>
          <w:rtl/>
        </w:rPr>
        <w:t xml:space="preserve">נוכח כל האמור לעיל, אני מוצאת להורות על דחיית התביעה לסעד הצהרתי על הסף עקב מעשה בית דין והשתק פלוגתא. </w:t>
      </w:r>
    </w:p>
    <w:p w:rsidR="005339E7" w:rsidRDefault="005339E7" w:rsidP="005339E7">
      <w:pPr>
        <w:spacing w:after="120" w:line="360" w:lineRule="auto"/>
        <w:jc w:val="both"/>
        <w:rPr>
          <w:rFonts w:ascii="Arial" w:hAnsi="Arial"/>
          <w:noProof w:val="0"/>
        </w:rPr>
      </w:pPr>
    </w:p>
    <w:p w:rsidR="005339E7" w:rsidRDefault="005339E7" w:rsidP="005339E7">
      <w:pPr>
        <w:spacing w:after="120" w:line="360" w:lineRule="auto"/>
        <w:jc w:val="both"/>
        <w:rPr>
          <w:rFonts w:ascii="Arial" w:hAnsi="Arial"/>
          <w:b/>
          <w:bCs/>
          <w:noProof w:val="0"/>
          <w:u w:val="single"/>
          <w:rtl/>
        </w:rPr>
      </w:pPr>
      <w:r>
        <w:rPr>
          <w:rFonts w:ascii="Arial" w:hAnsi="Arial"/>
          <w:b/>
          <w:bCs/>
          <w:noProof w:val="0"/>
          <w:u w:val="single"/>
          <w:rtl/>
        </w:rPr>
        <w:t>התביעה למתן חשבונות</w:t>
      </w:r>
    </w:p>
    <w:p w:rsidR="005339E7" w:rsidRDefault="005339E7" w:rsidP="005339E7">
      <w:pPr>
        <w:spacing w:after="120" w:line="360" w:lineRule="auto"/>
        <w:jc w:val="both"/>
        <w:rPr>
          <w:rFonts w:ascii="Arial" w:hAnsi="Arial"/>
          <w:b/>
          <w:bCs/>
          <w:noProof w:val="0"/>
          <w:rtl/>
        </w:rPr>
      </w:pPr>
      <w:r>
        <w:rPr>
          <w:rFonts w:ascii="Arial" w:hAnsi="Arial"/>
          <w:b/>
          <w:bCs/>
          <w:noProof w:val="0"/>
          <w:rtl/>
        </w:rPr>
        <w:t>התיישנות ושיהוי</w:t>
      </w:r>
    </w:p>
    <w:p w:rsidR="005339E7" w:rsidRDefault="005339E7" w:rsidP="00153DA4">
      <w:pPr>
        <w:pStyle w:val="ad"/>
        <w:numPr>
          <w:ilvl w:val="0"/>
          <w:numId w:val="1"/>
        </w:numPr>
        <w:spacing w:after="160" w:line="360" w:lineRule="auto"/>
        <w:ind w:left="708" w:hanging="498"/>
        <w:contextualSpacing w:val="0"/>
        <w:jc w:val="both"/>
        <w:rPr>
          <w:rFonts w:ascii="Arial" w:hAnsi="Arial"/>
          <w:noProof w:val="0"/>
        </w:rPr>
      </w:pPr>
      <w:r>
        <w:rPr>
          <w:rFonts w:ascii="Arial" w:hAnsi="Arial"/>
          <w:noProof w:val="0"/>
          <w:rtl/>
        </w:rPr>
        <w:t>כזכור, נטען בהגנה כי חלה התיישנות על התביעה בנוגע לזכויות שלשיטתה של התובעת מגיעות לה ע"פ הסכם גירושין משנת 2001- מלפני למעלה מ- 20 שנים והיא אינה יכולה לתבוע אותן היום. התובעת שקטה על שמריה, לא ניסתה לאתר את כספי המנוח, והמשיכה לגור בדירה בלי לשלם דמי שכירות, וזאת בהתאם לעצת עו"ד.</w:t>
      </w:r>
    </w:p>
    <w:p w:rsidR="005339E7" w:rsidRDefault="005339E7" w:rsidP="00153DA4">
      <w:pPr>
        <w:pStyle w:val="ad"/>
        <w:numPr>
          <w:ilvl w:val="0"/>
          <w:numId w:val="1"/>
        </w:numPr>
        <w:spacing w:after="160" w:line="360" w:lineRule="auto"/>
        <w:ind w:left="708" w:hanging="498"/>
        <w:contextualSpacing w:val="0"/>
        <w:jc w:val="both"/>
        <w:rPr>
          <w:rFonts w:ascii="Arial" w:hAnsi="Arial"/>
          <w:noProof w:val="0"/>
        </w:rPr>
      </w:pPr>
      <w:r>
        <w:rPr>
          <w:rFonts w:ascii="Arial" w:hAnsi="Arial"/>
          <w:noProof w:val="0"/>
          <w:rtl/>
        </w:rPr>
        <w:t>כנגד טענה זו התגוננה התובעת</w:t>
      </w:r>
      <w:r w:rsidR="00316A77">
        <w:rPr>
          <w:rFonts w:ascii="Arial" w:hAnsi="Arial" w:hint="cs"/>
          <w:noProof w:val="0"/>
          <w:rtl/>
        </w:rPr>
        <w:t xml:space="preserve"> במהלך הדיון,</w:t>
      </w:r>
      <w:r>
        <w:rPr>
          <w:rFonts w:ascii="Arial" w:hAnsi="Arial"/>
          <w:noProof w:val="0"/>
          <w:rtl/>
        </w:rPr>
        <w:t xml:space="preserve"> בטענה כי התיישנות של פסק דין היא 25 שנה.</w:t>
      </w:r>
    </w:p>
    <w:p w:rsidR="005339E7" w:rsidRDefault="005339E7" w:rsidP="00153DA4">
      <w:pPr>
        <w:pStyle w:val="ad"/>
        <w:numPr>
          <w:ilvl w:val="0"/>
          <w:numId w:val="1"/>
        </w:numPr>
        <w:spacing w:after="160" w:line="360" w:lineRule="auto"/>
        <w:ind w:left="708" w:hanging="498"/>
        <w:contextualSpacing w:val="0"/>
        <w:jc w:val="both"/>
        <w:rPr>
          <w:rFonts w:ascii="Arial" w:hAnsi="Arial"/>
          <w:noProof w:val="0"/>
        </w:rPr>
      </w:pPr>
      <w:r>
        <w:rPr>
          <w:rFonts w:ascii="Arial" w:hAnsi="Arial"/>
          <w:noProof w:val="0"/>
          <w:rtl/>
        </w:rPr>
        <w:t>סעיף 6 לחוק ההתיישנות, תשי"ח-1958</w:t>
      </w:r>
      <w:r>
        <w:rPr>
          <w:rtl/>
        </w:rPr>
        <w:t xml:space="preserve"> (להלן: "חוק ההתיישנות") קובע: "</w:t>
      </w:r>
      <w:r>
        <w:rPr>
          <w:b/>
          <w:bCs/>
          <w:rtl/>
        </w:rPr>
        <w:t>תקופת ההתיישנות מתחילה ביום שבו נולדה עילת התובענה"</w:t>
      </w:r>
      <w:r w:rsidR="006959FC">
        <w:rPr>
          <w:rFonts w:hint="cs"/>
          <w:rtl/>
        </w:rPr>
        <w:t>.</w:t>
      </w:r>
    </w:p>
    <w:p w:rsidR="005339E7" w:rsidRDefault="005339E7" w:rsidP="00153DA4">
      <w:pPr>
        <w:pStyle w:val="ad"/>
        <w:numPr>
          <w:ilvl w:val="0"/>
          <w:numId w:val="1"/>
        </w:numPr>
        <w:spacing w:after="160" w:line="360" w:lineRule="auto"/>
        <w:ind w:left="708" w:hanging="498"/>
        <w:contextualSpacing w:val="0"/>
        <w:jc w:val="both"/>
        <w:rPr>
          <w:rFonts w:ascii="Arial" w:hAnsi="Arial"/>
          <w:noProof w:val="0"/>
        </w:rPr>
      </w:pPr>
      <w:r>
        <w:rPr>
          <w:rFonts w:ascii="Arial" w:hAnsi="Arial"/>
          <w:noProof w:val="0"/>
          <w:rtl/>
        </w:rPr>
        <w:t xml:space="preserve">סעיף 21 לחוק ההתיישנות קובע: </w:t>
      </w:r>
      <w:r>
        <w:rPr>
          <w:rFonts w:ascii="Arial" w:hAnsi="Arial"/>
          <w:b/>
          <w:bCs/>
          <w:noProof w:val="0"/>
          <w:rtl/>
        </w:rPr>
        <w:t>"פסק דין בתובענה שעברו עליו עשרים וחמש שנה בלי שהזכאי לפיו עשה פעולה כל שהיא כדי לבצעו, רשאי החייב לטעון טענת התיישנות; ואולם פסק דין בתובענה שלפי תכנו אינו טעון ביצוע אינו נתון להתיישנות".</w:t>
      </w:r>
    </w:p>
    <w:p w:rsidR="005339E7" w:rsidRDefault="005339E7" w:rsidP="00153DA4">
      <w:pPr>
        <w:pStyle w:val="ad"/>
        <w:numPr>
          <w:ilvl w:val="0"/>
          <w:numId w:val="1"/>
        </w:numPr>
        <w:spacing w:after="160" w:line="360" w:lineRule="auto"/>
        <w:ind w:left="708" w:hanging="498"/>
        <w:contextualSpacing w:val="0"/>
        <w:jc w:val="both"/>
        <w:rPr>
          <w:rFonts w:ascii="Arial" w:hAnsi="Arial"/>
          <w:noProof w:val="0"/>
        </w:rPr>
      </w:pPr>
      <w:r>
        <w:rPr>
          <w:rFonts w:ascii="Arial" w:hAnsi="Arial"/>
          <w:noProof w:val="0"/>
          <w:rtl/>
        </w:rPr>
        <w:t xml:space="preserve">סעיף 27 לחוק ההתיישנות קובע: </w:t>
      </w:r>
      <w:r>
        <w:rPr>
          <w:rFonts w:ascii="Arial" w:hAnsi="Arial"/>
          <w:b/>
          <w:bCs/>
          <w:noProof w:val="0"/>
          <w:rtl/>
        </w:rPr>
        <w:t>"... אין חוק זה בא לפגוע בכל סמכות, לפי כל דין, לדחות תובענה או לסרב למתן סעד מחמת שיהוי</w:t>
      </w:r>
      <w:r>
        <w:rPr>
          <w:rFonts w:ascii="Arial" w:hAnsi="Arial"/>
          <w:noProof w:val="0"/>
          <w:rtl/>
        </w:rPr>
        <w:t>".</w:t>
      </w:r>
    </w:p>
    <w:p w:rsidR="005339E7" w:rsidRDefault="005339E7" w:rsidP="00153DA4">
      <w:pPr>
        <w:pStyle w:val="ad"/>
        <w:numPr>
          <w:ilvl w:val="0"/>
          <w:numId w:val="1"/>
        </w:numPr>
        <w:spacing w:after="160" w:line="360" w:lineRule="auto"/>
        <w:ind w:left="708" w:hanging="498"/>
        <w:contextualSpacing w:val="0"/>
        <w:jc w:val="both"/>
        <w:rPr>
          <w:rFonts w:ascii="Arial" w:hAnsi="Arial"/>
          <w:noProof w:val="0"/>
        </w:rPr>
      </w:pPr>
      <w:r>
        <w:rPr>
          <w:rFonts w:ascii="Arial" w:hAnsi="Arial"/>
          <w:noProof w:val="0"/>
          <w:rtl/>
        </w:rPr>
        <w:t>בענייננו, עילת התביעה כאן מבוססת על זכותה ש</w:t>
      </w:r>
      <w:r w:rsidR="00FB7D5D">
        <w:rPr>
          <w:rFonts w:ascii="Arial" w:hAnsi="Arial"/>
          <w:noProof w:val="0"/>
          <w:rtl/>
        </w:rPr>
        <w:t>ל התובעת לקבלת חשבונות בעניין כ</w:t>
      </w:r>
      <w:r w:rsidR="00FB7D5D">
        <w:rPr>
          <w:rFonts w:ascii="Arial" w:hAnsi="Arial" w:hint="cs"/>
          <w:noProof w:val="0"/>
          <w:rtl/>
        </w:rPr>
        <w:t xml:space="preserve">לל </w:t>
      </w:r>
      <w:r>
        <w:rPr>
          <w:rFonts w:ascii="Arial" w:hAnsi="Arial"/>
          <w:noProof w:val="0"/>
          <w:rtl/>
        </w:rPr>
        <w:t xml:space="preserve">נכסי בעלה המנוח, מכוח הסכם הגירושין בינה לבין המנוח משנת 2001. </w:t>
      </w:r>
    </w:p>
    <w:p w:rsidR="00393891" w:rsidRDefault="00393891" w:rsidP="00153DA4">
      <w:pPr>
        <w:pStyle w:val="ad"/>
        <w:numPr>
          <w:ilvl w:val="0"/>
          <w:numId w:val="1"/>
        </w:numPr>
        <w:spacing w:after="160" w:line="360" w:lineRule="auto"/>
        <w:ind w:left="708" w:hanging="498"/>
        <w:contextualSpacing w:val="0"/>
        <w:jc w:val="both"/>
        <w:rPr>
          <w:rFonts w:ascii="Arial" w:hAnsi="Arial"/>
          <w:noProof w:val="0"/>
        </w:rPr>
      </w:pPr>
      <w:r>
        <w:rPr>
          <w:rFonts w:ascii="Arial" w:hAnsi="Arial"/>
          <w:noProof w:val="0"/>
          <w:rtl/>
        </w:rPr>
        <w:lastRenderedPageBreak/>
        <w:t>מועד הקרע אשר בו מבקשת התובעת כי יחול צו מתן החשבנות הוא 04.04.2000, וזאת בהתאם להסכם הגירושין בין התובעת למנוח שנחתם וקיבל תוקף של פסק דין בשנת 2001. אין מחלוקת כי התובעת לא פעלה ע"פ הוראות ההסכם.</w:t>
      </w:r>
    </w:p>
    <w:p w:rsidR="005339E7" w:rsidRPr="00E85F8B" w:rsidRDefault="005339E7" w:rsidP="00153DA4">
      <w:pPr>
        <w:pStyle w:val="ad"/>
        <w:numPr>
          <w:ilvl w:val="0"/>
          <w:numId w:val="1"/>
        </w:numPr>
        <w:spacing w:after="160" w:line="360" w:lineRule="auto"/>
        <w:ind w:left="708" w:hanging="498"/>
        <w:contextualSpacing w:val="0"/>
        <w:jc w:val="both"/>
        <w:rPr>
          <w:rFonts w:ascii="Arial" w:hAnsi="Arial"/>
          <w:noProof w:val="0"/>
        </w:rPr>
      </w:pPr>
      <w:r w:rsidRPr="00E85F8B">
        <w:rPr>
          <w:rFonts w:ascii="Arial" w:hAnsi="Arial"/>
          <w:noProof w:val="0"/>
          <w:rtl/>
        </w:rPr>
        <w:t>לטעמי אף בהעדר התיישנות</w:t>
      </w:r>
      <w:r w:rsidR="006959FC">
        <w:rPr>
          <w:rFonts w:ascii="Arial" w:hAnsi="Arial" w:hint="cs"/>
          <w:noProof w:val="0"/>
          <w:rtl/>
        </w:rPr>
        <w:t>,</w:t>
      </w:r>
      <w:r w:rsidRPr="00E85F8B">
        <w:rPr>
          <w:rFonts w:ascii="Arial" w:hAnsi="Arial"/>
          <w:noProof w:val="0"/>
          <w:rtl/>
        </w:rPr>
        <w:t xml:space="preserve"> ניתן בנסיבות העניין לקבוע כי יש מקום לדחיית </w:t>
      </w:r>
      <w:r w:rsidR="00853D32">
        <w:rPr>
          <w:rFonts w:ascii="Arial" w:hAnsi="Arial" w:hint="cs"/>
          <w:noProof w:val="0"/>
          <w:rtl/>
        </w:rPr>
        <w:t>התביעה</w:t>
      </w:r>
      <w:r w:rsidRPr="00E85F8B">
        <w:rPr>
          <w:rFonts w:ascii="Arial" w:hAnsi="Arial"/>
          <w:noProof w:val="0"/>
          <w:rtl/>
        </w:rPr>
        <w:t xml:space="preserve"> בשל שיהוי ניכר </w:t>
      </w:r>
      <w:r w:rsidR="00853D32">
        <w:rPr>
          <w:rFonts w:ascii="Arial" w:hAnsi="Arial" w:hint="cs"/>
          <w:noProof w:val="0"/>
          <w:rtl/>
        </w:rPr>
        <w:t>בהגשתה</w:t>
      </w:r>
      <w:r w:rsidRPr="00E85F8B">
        <w:rPr>
          <w:rFonts w:ascii="Arial" w:hAnsi="Arial"/>
          <w:noProof w:val="0"/>
          <w:rtl/>
        </w:rPr>
        <w:t>.</w:t>
      </w:r>
    </w:p>
    <w:p w:rsidR="005339E7" w:rsidRDefault="005339E7" w:rsidP="00153DA4">
      <w:pPr>
        <w:pStyle w:val="ad"/>
        <w:numPr>
          <w:ilvl w:val="0"/>
          <w:numId w:val="1"/>
        </w:numPr>
        <w:spacing w:after="160" w:line="360" w:lineRule="auto"/>
        <w:ind w:left="708" w:hanging="498"/>
        <w:contextualSpacing w:val="0"/>
        <w:jc w:val="both"/>
        <w:rPr>
          <w:rFonts w:ascii="Arial" w:hAnsi="Arial"/>
          <w:noProof w:val="0"/>
          <w:rtl/>
        </w:rPr>
      </w:pPr>
      <w:r w:rsidRPr="00E85F8B">
        <w:rPr>
          <w:rFonts w:ascii="Arial" w:hAnsi="Arial"/>
          <w:noProof w:val="0"/>
          <w:rtl/>
        </w:rPr>
        <w:t xml:space="preserve">לעניין דחיית תביעה מחמת שיהוי ראה ברע"א 6805/99, תלמוד תורה הכללי והישיבה הגדולה עץ החיים בירושלים נגד הועדה המקומית לתכנון </w:t>
      </w:r>
      <w:r>
        <w:rPr>
          <w:rFonts w:ascii="Arial" w:hAnsi="Arial"/>
          <w:noProof w:val="0"/>
          <w:rtl/>
        </w:rPr>
        <w:t>ובניה בירושלים (פורסם בנבו):</w:t>
      </w:r>
    </w:p>
    <w:p w:rsidR="005339E7" w:rsidRDefault="005339E7" w:rsidP="005339E7">
      <w:pPr>
        <w:pStyle w:val="ad"/>
        <w:spacing w:after="120" w:line="360" w:lineRule="auto"/>
        <w:contextualSpacing w:val="0"/>
        <w:jc w:val="both"/>
        <w:rPr>
          <w:rFonts w:ascii="Arial" w:hAnsi="Arial"/>
          <w:b/>
          <w:bCs/>
          <w:noProof w:val="0"/>
          <w:rtl/>
        </w:rPr>
      </w:pPr>
      <w:r>
        <w:rPr>
          <w:rFonts w:ascii="Arial" w:hAnsi="Arial"/>
          <w:b/>
          <w:bCs/>
          <w:noProof w:val="0"/>
          <w:rtl/>
        </w:rPr>
        <w:t>"שיהוי בתוך תקופת ההתיישנות נוצר מקום שיש בהשתהות בפנייה לבית המשפט משום שימוש לא נאות בזכות התביעה הנתונה לתובע ופגיעה בציפייה הליגיטימית של הנתבע שלא להיתבע, שימוש המגיע כדי ניצול לרעה של ההליך השיפוטי...לצורך טענת שיהוי נדרש להוכיח כי בנסיבות המקרה נזח התובע את זכות התביעה העומדת לו, או שבמשך הזמן שינה הנתבע את מצבו לרעה. היו שהוסיפו תנאי חלופי שלישי שעניינו שיהוי שנגרם עקב חוסר תום לבו של התובע..."</w:t>
      </w:r>
    </w:p>
    <w:p w:rsidR="005339E7" w:rsidRDefault="005339E7" w:rsidP="00153DA4">
      <w:pPr>
        <w:pStyle w:val="ad"/>
        <w:numPr>
          <w:ilvl w:val="0"/>
          <w:numId w:val="1"/>
        </w:numPr>
        <w:spacing w:after="160" w:line="360" w:lineRule="auto"/>
        <w:ind w:left="708" w:hanging="498"/>
        <w:contextualSpacing w:val="0"/>
        <w:jc w:val="both"/>
        <w:rPr>
          <w:rFonts w:ascii="Arial" w:hAnsi="Arial"/>
          <w:noProof w:val="0"/>
          <w:rtl/>
        </w:rPr>
      </w:pPr>
      <w:r>
        <w:rPr>
          <w:rFonts w:ascii="Arial" w:hAnsi="Arial"/>
          <w:noProof w:val="0"/>
          <w:rtl/>
        </w:rPr>
        <w:t>בענייננו, חלק ניכר מטענות התובעת בהליך זה מתייחס למימוש זכויות הנובעות מהסכם גירושין שנחתם בין התובעת לבין המנוח לפני למעלה מ-20 שנים. מאז התובעת לא הגישה תביעות בשל אותן זכויות נטענות, וזאת מבלי להידרש בשלב זה לשאלה אם התובעת זכאית למימוש אותן זכויות, אם לאו.</w:t>
      </w:r>
    </w:p>
    <w:p w:rsidR="00E44C27" w:rsidRDefault="005339E7" w:rsidP="00153DA4">
      <w:pPr>
        <w:pStyle w:val="ad"/>
        <w:numPr>
          <w:ilvl w:val="0"/>
          <w:numId w:val="1"/>
        </w:numPr>
        <w:spacing w:after="160" w:line="360" w:lineRule="auto"/>
        <w:ind w:left="708" w:hanging="498"/>
        <w:contextualSpacing w:val="0"/>
        <w:jc w:val="both"/>
        <w:rPr>
          <w:rFonts w:ascii="Arial" w:hAnsi="Arial"/>
          <w:noProof w:val="0"/>
        </w:rPr>
      </w:pPr>
      <w:r w:rsidRPr="00BA7CCD">
        <w:rPr>
          <w:rFonts w:ascii="Arial" w:hAnsi="Arial"/>
          <w:noProof w:val="0"/>
          <w:rtl/>
        </w:rPr>
        <w:t xml:space="preserve">בסכסוכי גירושין קיימת חשיבות יתרה לדיון ממצה בכל מחלוקות הצדדים בתוך זמן סביר. זכותו של אדם לשים את פרק הגירושין </w:t>
      </w:r>
      <w:r w:rsidR="00BA7CCD" w:rsidRPr="00BA7CCD">
        <w:rPr>
          <w:rFonts w:ascii="Arial" w:hAnsi="Arial"/>
          <w:noProof w:val="0"/>
          <w:rtl/>
        </w:rPr>
        <w:t>מאחוריו, חיונית לשיקומו האישי.</w:t>
      </w:r>
      <w:r w:rsidR="00BA7CCD">
        <w:rPr>
          <w:rFonts w:ascii="Arial" w:hAnsi="Arial" w:hint="cs"/>
          <w:noProof w:val="0"/>
          <w:rtl/>
        </w:rPr>
        <w:t xml:space="preserve"> </w:t>
      </w:r>
    </w:p>
    <w:p w:rsidR="005339E7" w:rsidRPr="00BA7CCD" w:rsidRDefault="005339E7" w:rsidP="00153DA4">
      <w:pPr>
        <w:pStyle w:val="ad"/>
        <w:numPr>
          <w:ilvl w:val="0"/>
          <w:numId w:val="1"/>
        </w:numPr>
        <w:spacing w:after="160" w:line="360" w:lineRule="auto"/>
        <w:ind w:left="708" w:hanging="498"/>
        <w:contextualSpacing w:val="0"/>
        <w:jc w:val="both"/>
        <w:rPr>
          <w:rFonts w:ascii="Arial" w:hAnsi="Arial"/>
          <w:noProof w:val="0"/>
        </w:rPr>
      </w:pPr>
      <w:r w:rsidRPr="00BA7CCD">
        <w:rPr>
          <w:rFonts w:ascii="Arial" w:hAnsi="Arial"/>
          <w:noProof w:val="0"/>
          <w:rtl/>
        </w:rPr>
        <w:t xml:space="preserve">כאשר כבר נדון הליך בין בני הזוג, ומי מהצדדים בוחר בחלוף שנים מסיום ההליכים לעתור בתביעה חדשה, כאשר עילת התביעה התגבשה שנים קודם לכן, יש מקום לשקול שימוש באפשרות לדחות התביעה מחמת שיהוי, </w:t>
      </w:r>
      <w:r w:rsidR="00BA7CCD" w:rsidRPr="00BA7CCD">
        <w:rPr>
          <w:rFonts w:ascii="Arial" w:hAnsi="Arial"/>
          <w:noProof w:val="0"/>
          <w:rtl/>
        </w:rPr>
        <w:t>אם לא ניתן לדחותה מחמת התיישנות</w:t>
      </w:r>
      <w:r w:rsidR="00BA7CCD" w:rsidRPr="00BA7CCD">
        <w:rPr>
          <w:rFonts w:ascii="Arial" w:hAnsi="Arial" w:hint="cs"/>
          <w:noProof w:val="0"/>
          <w:rtl/>
        </w:rPr>
        <w:t xml:space="preserve"> </w:t>
      </w:r>
      <w:r w:rsidR="00BA7CCD" w:rsidRPr="00BA7CCD">
        <w:rPr>
          <w:rFonts w:ascii="Arial" w:hAnsi="Arial"/>
          <w:noProof w:val="0"/>
          <w:rtl/>
        </w:rPr>
        <w:t>(ראו: תמ"ש (משפחה רא</w:t>
      </w:r>
      <w:r w:rsidR="00BA7CCD" w:rsidRPr="00BA7CCD">
        <w:rPr>
          <w:rFonts w:ascii="Arial" w:hAnsi="Arial" w:hint="cs"/>
          <w:noProof w:val="0"/>
          <w:rtl/>
        </w:rPr>
        <w:t>של"צ</w:t>
      </w:r>
      <w:r w:rsidR="00BA7CCD" w:rsidRPr="00BA7CCD">
        <w:rPr>
          <w:rFonts w:ascii="Arial" w:hAnsi="Arial"/>
          <w:noProof w:val="0"/>
          <w:rtl/>
        </w:rPr>
        <w:t>) 19171-04-19 </w:t>
      </w:r>
      <w:r w:rsidR="00BA7CCD" w:rsidRPr="00BA7CCD">
        <w:rPr>
          <w:rFonts w:ascii="Arial" w:hAnsi="Arial"/>
          <w:b/>
          <w:bCs/>
          <w:noProof w:val="0"/>
          <w:rtl/>
        </w:rPr>
        <w:t>פלוני נ' פלונית</w:t>
      </w:r>
      <w:r w:rsidR="00BA7CCD" w:rsidRPr="00BA7CCD">
        <w:rPr>
          <w:rFonts w:ascii="Arial" w:hAnsi="Arial"/>
          <w:noProof w:val="0"/>
          <w:rtl/>
        </w:rPr>
        <w:t> (נבו 24.10.2021).</w:t>
      </w:r>
    </w:p>
    <w:p w:rsidR="005339E7" w:rsidRDefault="005339E7" w:rsidP="00153DA4">
      <w:pPr>
        <w:pStyle w:val="ad"/>
        <w:numPr>
          <w:ilvl w:val="0"/>
          <w:numId w:val="1"/>
        </w:numPr>
        <w:spacing w:after="160" w:line="360" w:lineRule="auto"/>
        <w:ind w:left="708" w:hanging="498"/>
        <w:contextualSpacing w:val="0"/>
        <w:jc w:val="both"/>
        <w:rPr>
          <w:rFonts w:ascii="Arial" w:hAnsi="Arial"/>
          <w:noProof w:val="0"/>
        </w:rPr>
      </w:pPr>
      <w:r>
        <w:rPr>
          <w:rFonts w:ascii="Arial" w:hAnsi="Arial"/>
          <w:noProof w:val="0"/>
          <w:rtl/>
        </w:rPr>
        <w:t xml:space="preserve">בנסיבות המקרה שלפנינו, עולה כי המניע היחיד להגשת התביעה הוא רצונה של התובעת לבוא בחשבון עם אחותו של בעלה לשעבר המנוח, על עוול </w:t>
      </w:r>
      <w:r w:rsidR="000015D8">
        <w:rPr>
          <w:rFonts w:ascii="Arial" w:hAnsi="Arial" w:hint="cs"/>
          <w:noProof w:val="0"/>
          <w:rtl/>
        </w:rPr>
        <w:t>ש</w:t>
      </w:r>
      <w:r>
        <w:rPr>
          <w:rFonts w:ascii="Arial" w:hAnsi="Arial"/>
          <w:noProof w:val="0"/>
          <w:rtl/>
        </w:rPr>
        <w:t>נגרם לה לשיטתה, בשל אי עמידתה על זכויותיה בהתאם להסכם גירושין שקיבל תוקף של פסק דין משנת 2001, התנהלות העולה כדי ניצול לרעה של ההליך השיפוטי וחוסר תום לב.</w:t>
      </w:r>
    </w:p>
    <w:p w:rsidR="005339E7" w:rsidRDefault="005339E7" w:rsidP="00153DA4">
      <w:pPr>
        <w:pStyle w:val="ad"/>
        <w:numPr>
          <w:ilvl w:val="0"/>
          <w:numId w:val="1"/>
        </w:numPr>
        <w:spacing w:after="160" w:line="360" w:lineRule="auto"/>
        <w:ind w:left="708" w:hanging="498"/>
        <w:contextualSpacing w:val="0"/>
        <w:jc w:val="both"/>
        <w:rPr>
          <w:rFonts w:ascii="Arial" w:hAnsi="Arial"/>
          <w:noProof w:val="0"/>
        </w:rPr>
      </w:pPr>
      <w:r>
        <w:rPr>
          <w:rFonts w:ascii="Arial" w:hAnsi="Arial"/>
          <w:noProof w:val="0"/>
          <w:rtl/>
        </w:rPr>
        <w:t>הדברים עולים ברורות מסיכומי התובעת עצמה (בין היתר בסעיף 2): "</w:t>
      </w:r>
      <w:r>
        <w:rPr>
          <w:rFonts w:ascii="Arial" w:hAnsi="Arial"/>
          <w:b/>
          <w:bCs/>
          <w:noProof w:val="0"/>
          <w:rtl/>
        </w:rPr>
        <w:t>הצורך במתן החשבונות מקורו ביום 6.9.2001 בו א</w:t>
      </w:r>
      <w:r w:rsidR="00641071">
        <w:rPr>
          <w:rFonts w:ascii="Arial" w:hAnsi="Arial"/>
          <w:b/>
          <w:bCs/>
          <w:noProof w:val="0"/>
          <w:rtl/>
        </w:rPr>
        <w:t>ושר על ידי כב' בימ"ש למשפחה ב</w:t>
      </w:r>
      <w:r w:rsidR="00641071">
        <w:rPr>
          <w:rFonts w:ascii="Arial" w:hAnsi="Arial"/>
          <w:b/>
          <w:bCs/>
          <w:noProof w:val="0"/>
        </w:rPr>
        <w:t>xxxx</w:t>
      </w:r>
      <w:r>
        <w:rPr>
          <w:rFonts w:ascii="Arial" w:hAnsi="Arial"/>
          <w:b/>
          <w:bCs/>
          <w:noProof w:val="0"/>
          <w:rtl/>
        </w:rPr>
        <w:t xml:space="preserve"> הסכם </w:t>
      </w:r>
      <w:r w:rsidR="00AC6074">
        <w:rPr>
          <w:rFonts w:ascii="Arial" w:hAnsi="Arial" w:hint="cs"/>
          <w:b/>
          <w:bCs/>
          <w:noProof w:val="0"/>
          <w:rtl/>
        </w:rPr>
        <w:t>ג</w:t>
      </w:r>
      <w:r>
        <w:rPr>
          <w:rFonts w:ascii="Arial" w:hAnsi="Arial"/>
          <w:b/>
          <w:bCs/>
          <w:noProof w:val="0"/>
          <w:rtl/>
        </w:rPr>
        <w:t xml:space="preserve">ירושין בין המנוח ... לתובעת". </w:t>
      </w:r>
    </w:p>
    <w:p w:rsidR="005339E7" w:rsidRDefault="005339E7" w:rsidP="00153DA4">
      <w:pPr>
        <w:pStyle w:val="ad"/>
        <w:numPr>
          <w:ilvl w:val="0"/>
          <w:numId w:val="1"/>
        </w:numPr>
        <w:spacing w:after="160" w:line="360" w:lineRule="auto"/>
        <w:ind w:left="708" w:hanging="498"/>
        <w:contextualSpacing w:val="0"/>
        <w:jc w:val="both"/>
        <w:rPr>
          <w:rFonts w:ascii="Arial" w:hAnsi="Arial"/>
          <w:noProof w:val="0"/>
        </w:rPr>
      </w:pPr>
      <w:r>
        <w:rPr>
          <w:rFonts w:ascii="Arial" w:hAnsi="Arial"/>
          <w:noProof w:val="0"/>
          <w:rtl/>
        </w:rPr>
        <w:lastRenderedPageBreak/>
        <w:t xml:space="preserve">כך גם בדיון קדם המשפט הראשון בתיק זה טען לפניי ב"כ התובעת: </w:t>
      </w:r>
      <w:r>
        <w:rPr>
          <w:rFonts w:ascii="Arial" w:hAnsi="Arial"/>
          <w:b/>
          <w:bCs/>
          <w:noProof w:val="0"/>
          <w:rtl/>
        </w:rPr>
        <w:t>"אני מבקש לקבל מהנתבעת 1 סעד של מתן חשבונות מאחר שלאור הסכם הגירושין וכל מה שאירע בעקבותיו, מאחר וההסכם לא בוצע ככתבו וכלשונו בהתאם למה שהיה כתוב בו ... אני מבקש היום בין היתר לאכוף את ההסכם ולברר את הכספים כי היום המידע נמצא בידי הנתבעת"</w:t>
      </w:r>
      <w:r>
        <w:rPr>
          <w:rFonts w:ascii="Arial" w:hAnsi="Arial"/>
          <w:noProof w:val="0"/>
          <w:rtl/>
        </w:rPr>
        <w:t xml:space="preserve"> (25.02.21, עמ' 2 ש' 10-9, 15-14). </w:t>
      </w:r>
    </w:p>
    <w:p w:rsidR="005339E7" w:rsidRDefault="005339E7" w:rsidP="00153DA4">
      <w:pPr>
        <w:pStyle w:val="ad"/>
        <w:numPr>
          <w:ilvl w:val="0"/>
          <w:numId w:val="1"/>
        </w:numPr>
        <w:spacing w:after="160" w:line="360" w:lineRule="auto"/>
        <w:ind w:left="708" w:hanging="498"/>
        <w:contextualSpacing w:val="0"/>
        <w:jc w:val="both"/>
        <w:rPr>
          <w:rFonts w:ascii="Arial" w:hAnsi="Arial"/>
          <w:noProof w:val="0"/>
        </w:rPr>
      </w:pPr>
      <w:r>
        <w:rPr>
          <w:rFonts w:ascii="Arial" w:hAnsi="Arial"/>
          <w:noProof w:val="0"/>
          <w:rtl/>
        </w:rPr>
        <w:t xml:space="preserve">ובהמשך: </w:t>
      </w:r>
      <w:r>
        <w:rPr>
          <w:rFonts w:ascii="Arial" w:hAnsi="Arial"/>
          <w:b/>
          <w:bCs/>
          <w:noProof w:val="0"/>
          <w:rtl/>
        </w:rPr>
        <w:t>"אני מסכים כשהמנוח היה בחיים צריך היה לעשות את ההתחשבנות. היו צריכים לפעול ב-2001"</w:t>
      </w:r>
      <w:r>
        <w:rPr>
          <w:rFonts w:ascii="Arial" w:hAnsi="Arial"/>
          <w:noProof w:val="0"/>
          <w:rtl/>
        </w:rPr>
        <w:t xml:space="preserve"> (25.02.21, עמ' 4 ש' 4-1).</w:t>
      </w:r>
    </w:p>
    <w:p w:rsidR="005339E7" w:rsidRDefault="005339E7" w:rsidP="00153DA4">
      <w:pPr>
        <w:pStyle w:val="ad"/>
        <w:numPr>
          <w:ilvl w:val="0"/>
          <w:numId w:val="1"/>
        </w:numPr>
        <w:spacing w:after="160" w:line="360" w:lineRule="auto"/>
        <w:ind w:left="708" w:hanging="498"/>
        <w:contextualSpacing w:val="0"/>
        <w:jc w:val="both"/>
        <w:rPr>
          <w:rFonts w:ascii="Arial" w:hAnsi="Arial"/>
          <w:noProof w:val="0"/>
        </w:rPr>
      </w:pPr>
      <w:r>
        <w:rPr>
          <w:rFonts w:ascii="Arial" w:hAnsi="Arial"/>
          <w:noProof w:val="0"/>
          <w:rtl/>
        </w:rPr>
        <w:t xml:space="preserve">התובעת למעשה מבקשת היום לאכוף הסכם גירושין משנת 2001, עליו חתמה עם בעלה לשעבר, אשר כיום כלל אינו בין החיים. </w:t>
      </w:r>
    </w:p>
    <w:p w:rsidR="005339E7" w:rsidRDefault="005339E7" w:rsidP="00153DA4">
      <w:pPr>
        <w:pStyle w:val="ad"/>
        <w:numPr>
          <w:ilvl w:val="0"/>
          <w:numId w:val="1"/>
        </w:numPr>
        <w:spacing w:after="160" w:line="360" w:lineRule="auto"/>
        <w:ind w:left="708" w:hanging="498"/>
        <w:contextualSpacing w:val="0"/>
        <w:jc w:val="both"/>
        <w:rPr>
          <w:rFonts w:ascii="Arial" w:hAnsi="Arial"/>
          <w:noProof w:val="0"/>
        </w:rPr>
      </w:pPr>
      <w:r>
        <w:rPr>
          <w:rFonts w:ascii="Arial" w:hAnsi="Arial"/>
          <w:noProof w:val="0"/>
          <w:rtl/>
        </w:rPr>
        <w:t>לעניין זה הייתה התייחסות גם בפסק הדין</w:t>
      </w:r>
      <w:r w:rsidR="007A02B1">
        <w:rPr>
          <w:rFonts w:ascii="Arial" w:hAnsi="Arial" w:hint="cs"/>
          <w:noProof w:val="0"/>
          <w:rtl/>
        </w:rPr>
        <w:t xml:space="preserve"> בהליך הקודם</w:t>
      </w:r>
      <w:r>
        <w:rPr>
          <w:rFonts w:ascii="Arial" w:hAnsi="Arial"/>
          <w:noProof w:val="0"/>
          <w:rtl/>
        </w:rPr>
        <w:t xml:space="preserve"> מיום 18.06.20, כדלקמן:</w:t>
      </w:r>
    </w:p>
    <w:p w:rsidR="005339E7" w:rsidRDefault="005339E7" w:rsidP="005339E7">
      <w:pPr>
        <w:pStyle w:val="ad"/>
        <w:spacing w:line="276" w:lineRule="auto"/>
        <w:ind w:left="1440"/>
        <w:jc w:val="both"/>
        <w:rPr>
          <w:rFonts w:ascii="Arial" w:hAnsi="Arial"/>
          <w:b/>
          <w:bCs/>
          <w:noProof w:val="0"/>
        </w:rPr>
      </w:pPr>
      <w:r>
        <w:rPr>
          <w:rFonts w:ascii="Arial" w:hAnsi="Arial"/>
          <w:b/>
          <w:bCs/>
          <w:noProof w:val="0"/>
          <w:rtl/>
        </w:rPr>
        <w:t>"על פי עדויות הנתבעים בכלל, והנתבעת והנתבע 1 בפרט, כולם ידעו שהסכם הגירושים קובע שהדירה נשוא תביעה זו תימכר ותחולק באופן שווה בין הצדדים, אלא אם כן, הנתבעת תרכוש את חלקו של המנוח לאחר שיאוזנו זכויותיו ביניהם, אלא שכולם בחרו לשתוק ולא לעשות דבר.</w:t>
      </w:r>
    </w:p>
    <w:p w:rsidR="005339E7" w:rsidRDefault="005339E7" w:rsidP="005339E7">
      <w:pPr>
        <w:pStyle w:val="ad"/>
        <w:spacing w:line="276" w:lineRule="auto"/>
        <w:ind w:left="1440"/>
        <w:jc w:val="both"/>
        <w:rPr>
          <w:rFonts w:ascii="Arial" w:hAnsi="Arial"/>
          <w:b/>
          <w:bCs/>
          <w:noProof w:val="0"/>
        </w:rPr>
      </w:pPr>
      <w:r>
        <w:rPr>
          <w:rFonts w:ascii="Arial" w:hAnsi="Arial"/>
          <w:b/>
          <w:bCs/>
          <w:noProof w:val="0"/>
          <w:rtl/>
        </w:rPr>
        <w:t xml:space="preserve">ראו עדות הנתבע 1: </w:t>
      </w:r>
      <w:r>
        <w:rPr>
          <w:rFonts w:ascii="Arial" w:hAnsi="Arial"/>
          <w:b/>
          <w:bCs/>
          <w:noProof w:val="0"/>
          <w:rtl/>
        </w:rPr>
        <w:tab/>
      </w:r>
    </w:p>
    <w:p w:rsidR="005339E7" w:rsidRDefault="005339E7" w:rsidP="005339E7">
      <w:pPr>
        <w:pStyle w:val="ad"/>
        <w:spacing w:line="276" w:lineRule="auto"/>
        <w:ind w:left="1440"/>
        <w:jc w:val="both"/>
        <w:rPr>
          <w:rFonts w:ascii="Arial" w:hAnsi="Arial"/>
          <w:b/>
          <w:bCs/>
          <w:noProof w:val="0"/>
          <w:rtl/>
        </w:rPr>
      </w:pPr>
      <w:r>
        <w:rPr>
          <w:rFonts w:ascii="Arial" w:hAnsi="Arial"/>
          <w:b/>
          <w:bCs/>
          <w:noProof w:val="0"/>
          <w:rtl/>
        </w:rPr>
        <w:t>"ידעתי שיש הסכם ומה שהיה זה שקט, לא דרשו ולא דרשנו".</w:t>
      </w:r>
    </w:p>
    <w:p w:rsidR="005339E7" w:rsidRDefault="005339E7" w:rsidP="005339E7">
      <w:pPr>
        <w:pStyle w:val="ad"/>
        <w:spacing w:line="276" w:lineRule="auto"/>
        <w:ind w:left="1440"/>
        <w:jc w:val="both"/>
        <w:rPr>
          <w:rFonts w:ascii="Arial" w:hAnsi="Arial"/>
          <w:b/>
          <w:bCs/>
          <w:noProof w:val="0"/>
          <w:rtl/>
        </w:rPr>
      </w:pPr>
      <w:r>
        <w:rPr>
          <w:rFonts w:ascii="Arial" w:hAnsi="Arial"/>
          <w:b/>
          <w:bCs/>
          <w:noProof w:val="0"/>
          <w:rtl/>
        </w:rPr>
        <w:t>(עמוד 23 שורה 2 לפרוטוקול מיום 1.6.20).</w:t>
      </w:r>
    </w:p>
    <w:p w:rsidR="005339E7" w:rsidRDefault="005339E7" w:rsidP="005339E7">
      <w:pPr>
        <w:pStyle w:val="ad"/>
        <w:spacing w:line="276" w:lineRule="auto"/>
        <w:ind w:left="1440"/>
        <w:jc w:val="both"/>
        <w:rPr>
          <w:rFonts w:ascii="Arial" w:hAnsi="Arial"/>
          <w:b/>
          <w:bCs/>
          <w:noProof w:val="0"/>
          <w:rtl/>
        </w:rPr>
      </w:pPr>
    </w:p>
    <w:p w:rsidR="005339E7" w:rsidRDefault="005339E7" w:rsidP="005339E7">
      <w:pPr>
        <w:pStyle w:val="ad"/>
        <w:spacing w:line="276" w:lineRule="auto"/>
        <w:ind w:left="1440"/>
        <w:jc w:val="both"/>
        <w:rPr>
          <w:rFonts w:ascii="Arial" w:hAnsi="Arial"/>
          <w:b/>
          <w:bCs/>
          <w:noProof w:val="0"/>
          <w:rtl/>
        </w:rPr>
      </w:pPr>
      <w:r>
        <w:rPr>
          <w:rFonts w:ascii="Arial" w:hAnsi="Arial"/>
          <w:b/>
          <w:bCs/>
          <w:noProof w:val="0"/>
          <w:rtl/>
        </w:rPr>
        <w:t>עדות הנתבעת:</w:t>
      </w:r>
      <w:r>
        <w:rPr>
          <w:rFonts w:ascii="Arial" w:hAnsi="Arial"/>
          <w:b/>
          <w:bCs/>
          <w:noProof w:val="0"/>
          <w:rtl/>
        </w:rPr>
        <w:tab/>
      </w:r>
    </w:p>
    <w:p w:rsidR="005339E7" w:rsidRDefault="005339E7" w:rsidP="005339E7">
      <w:pPr>
        <w:pStyle w:val="ad"/>
        <w:spacing w:line="276" w:lineRule="auto"/>
        <w:ind w:left="1440"/>
        <w:jc w:val="both"/>
        <w:rPr>
          <w:b/>
          <w:bCs/>
          <w:noProof w:val="0"/>
          <w:rtl/>
        </w:rPr>
      </w:pPr>
      <w:r>
        <w:rPr>
          <w:b/>
          <w:bCs/>
          <w:rtl/>
        </w:rPr>
        <w:t xml:space="preserve">"לשאלת בית המשפט, כאשר אישרנו את ההסכם בבית משפט לענייני משפחה בת"א, ניתן לי צו שיכולתי לבדוק, מדוע לא עשיתי זאת, אמרתי – היה לי שקט. לשאלת בית המשפט למה לא בדקתי כל השנים </w:t>
      </w:r>
      <w:r>
        <w:rPr>
          <w:rFonts w:ascii="Arial" w:hAnsi="Arial"/>
          <w:b/>
          <w:bCs/>
          <w:noProof w:val="0"/>
          <w:rtl/>
        </w:rPr>
        <w:t>הראשונות</w:t>
      </w:r>
      <w:r>
        <w:rPr>
          <w:b/>
          <w:bCs/>
          <w:rtl/>
        </w:rPr>
        <w:t>, לא יודעת.</w:t>
      </w:r>
      <w:r>
        <w:rPr>
          <w:b/>
          <w:bCs/>
          <w:noProof w:val="0"/>
          <w:rtl/>
        </w:rPr>
        <w:t>"</w:t>
      </w:r>
    </w:p>
    <w:p w:rsidR="005339E7" w:rsidRDefault="005339E7" w:rsidP="005339E7">
      <w:pPr>
        <w:pStyle w:val="ad"/>
        <w:spacing w:line="276" w:lineRule="auto"/>
        <w:ind w:left="1440"/>
        <w:jc w:val="both"/>
        <w:rPr>
          <w:rFonts w:ascii="Arial" w:hAnsi="Arial"/>
          <w:b/>
          <w:bCs/>
          <w:noProof w:val="0"/>
          <w:rtl/>
        </w:rPr>
      </w:pPr>
      <w:r>
        <w:rPr>
          <w:rFonts w:ascii="Arial" w:hAnsi="Arial"/>
          <w:b/>
          <w:bCs/>
          <w:noProof w:val="0"/>
          <w:rtl/>
        </w:rPr>
        <w:t>(עמוד 35 שורה 22-24 לפרוטוקול מיום 2.6.20)."</w:t>
      </w:r>
    </w:p>
    <w:p w:rsidR="005339E7" w:rsidRDefault="005339E7" w:rsidP="005339E7">
      <w:pPr>
        <w:spacing w:after="120" w:line="360" w:lineRule="auto"/>
        <w:jc w:val="both"/>
        <w:rPr>
          <w:rFonts w:ascii="Arial" w:hAnsi="Arial"/>
          <w:noProof w:val="0"/>
          <w:rtl/>
        </w:rPr>
      </w:pPr>
    </w:p>
    <w:p w:rsidR="005339E7" w:rsidRDefault="005339E7" w:rsidP="00153DA4">
      <w:pPr>
        <w:pStyle w:val="ad"/>
        <w:numPr>
          <w:ilvl w:val="0"/>
          <w:numId w:val="1"/>
        </w:numPr>
        <w:spacing w:after="160" w:line="360" w:lineRule="auto"/>
        <w:ind w:left="708" w:hanging="498"/>
        <w:contextualSpacing w:val="0"/>
        <w:jc w:val="both"/>
        <w:rPr>
          <w:rtl/>
        </w:rPr>
      </w:pPr>
      <w:r>
        <w:rPr>
          <w:rtl/>
        </w:rPr>
        <w:t>כך גם בחקירת התובעת בהליך הנוכחי, בדיון מיום 29.09.22 כאשר התובעת נשאלה מדוע לא פעלה על פי ההסכם במשך כל אותן השנים, חזרה שוב ושוב על תשובותיה כי היה "שקט" ולא התעורר כל צורך לפעול לפי ההסכם (עמ' 6 ש' 10-9, ש' 34-30; עמ' 9 ש' 8-1).</w:t>
      </w:r>
    </w:p>
    <w:p w:rsidR="005339E7" w:rsidRDefault="005339E7" w:rsidP="00153DA4">
      <w:pPr>
        <w:pStyle w:val="ad"/>
        <w:numPr>
          <w:ilvl w:val="0"/>
          <w:numId w:val="1"/>
        </w:numPr>
        <w:spacing w:after="160" w:line="360" w:lineRule="auto"/>
        <w:ind w:left="708" w:hanging="498"/>
        <w:contextualSpacing w:val="0"/>
        <w:jc w:val="both"/>
      </w:pPr>
      <w:r>
        <w:rPr>
          <w:rtl/>
        </w:rPr>
        <w:t>ממכלול הראיות שהוצגו בפניי, עולה כי התובעת לא עשתה דבר למימוש זכויותיה על פי הסכם הגירושין, ולחלופין על פי ההסכם ש</w:t>
      </w:r>
      <w:r w:rsidR="003953E2">
        <w:rPr>
          <w:rFonts w:hint="cs"/>
          <w:rtl/>
        </w:rPr>
        <w:t xml:space="preserve">לטענתה </w:t>
      </w:r>
      <w:r w:rsidR="003953E2">
        <w:rPr>
          <w:rtl/>
        </w:rPr>
        <w:t>נערך בעל פה בי</w:t>
      </w:r>
      <w:r w:rsidR="003953E2">
        <w:rPr>
          <w:rFonts w:hint="cs"/>
          <w:rtl/>
        </w:rPr>
        <w:t xml:space="preserve">נה </w:t>
      </w:r>
      <w:r>
        <w:rPr>
          <w:rtl/>
        </w:rPr>
        <w:t xml:space="preserve">לבין המנוח, לפיו התובעת </w:t>
      </w:r>
      <w:r w:rsidRPr="00303B03">
        <w:rPr>
          <w:rFonts w:ascii="Arial" w:hAnsi="Arial"/>
          <w:noProof w:val="0"/>
          <w:rtl/>
        </w:rPr>
        <w:t>תיוותר</w:t>
      </w:r>
      <w:r>
        <w:rPr>
          <w:rtl/>
        </w:rPr>
        <w:t xml:space="preserve"> עם הדירה כנגד ויתורה על כספי המנוח. </w:t>
      </w:r>
    </w:p>
    <w:p w:rsidR="005339E7" w:rsidRDefault="005339E7" w:rsidP="00153DA4">
      <w:pPr>
        <w:pStyle w:val="ad"/>
        <w:numPr>
          <w:ilvl w:val="0"/>
          <w:numId w:val="1"/>
        </w:numPr>
        <w:spacing w:after="160" w:line="360" w:lineRule="auto"/>
        <w:ind w:left="708" w:hanging="498"/>
        <w:contextualSpacing w:val="0"/>
        <w:jc w:val="both"/>
      </w:pPr>
      <w:r>
        <w:rPr>
          <w:rtl/>
        </w:rPr>
        <w:t xml:space="preserve">טענות התובעת לפיהן היה לה שקט ולא התעורר צורך לפנות לבית המשפט או לפעול לעיגון ההסכם בכתב ורישום הדירה על שמה, אינן יכולות להועיל ולהצדיק הימנעות מפנייה </w:t>
      </w:r>
      <w:r w:rsidRPr="00153DA4">
        <w:rPr>
          <w:rFonts w:ascii="Arial" w:hAnsi="Arial"/>
          <w:noProof w:val="0"/>
          <w:rtl/>
        </w:rPr>
        <w:t>לערכאה</w:t>
      </w:r>
      <w:r>
        <w:rPr>
          <w:rtl/>
        </w:rPr>
        <w:t xml:space="preserve"> שיפוטית משך 20 שנה, באופן שהביא לנזק ראייתי רב להוכחת גרסת התובעת.</w:t>
      </w:r>
    </w:p>
    <w:p w:rsidR="005339E7" w:rsidRDefault="005339E7" w:rsidP="00153DA4">
      <w:pPr>
        <w:pStyle w:val="ad"/>
        <w:numPr>
          <w:ilvl w:val="0"/>
          <w:numId w:val="1"/>
        </w:numPr>
        <w:spacing w:after="160" w:line="360" w:lineRule="auto"/>
        <w:ind w:left="708" w:hanging="498"/>
        <w:contextualSpacing w:val="0"/>
        <w:jc w:val="both"/>
        <w:rPr>
          <w:rFonts w:ascii="Arial" w:hAnsi="Arial"/>
          <w:noProof w:val="0"/>
        </w:rPr>
      </w:pPr>
      <w:r>
        <w:rPr>
          <w:rFonts w:ascii="Arial" w:hAnsi="Arial"/>
          <w:noProof w:val="0"/>
          <w:rtl/>
        </w:rPr>
        <w:lastRenderedPageBreak/>
        <w:t xml:space="preserve">המסקנה </w:t>
      </w:r>
      <w:r>
        <w:rPr>
          <w:rtl/>
        </w:rPr>
        <w:t>המתבקשת</w:t>
      </w:r>
      <w:r>
        <w:rPr>
          <w:rFonts w:ascii="Arial" w:hAnsi="Arial"/>
          <w:noProof w:val="0"/>
          <w:rtl/>
        </w:rPr>
        <w:t xml:space="preserve"> היא כי היום כחלוף למעלה מ-20 שנה מאז נחתם הסכם הגירושין בין התובעת למנוח, עילת התביעה למתן חשבונות לוקה בשיהוי ניכר ומשמעותי בהגשתה, שמצדיק את</w:t>
      </w:r>
      <w:r>
        <w:rPr>
          <w:rtl/>
        </w:rPr>
        <w:t xml:space="preserve"> דחיית התביעה על הסף ביחס לחשבונות</w:t>
      </w:r>
      <w:r w:rsidR="00875FC2">
        <w:rPr>
          <w:rFonts w:hint="cs"/>
          <w:rtl/>
        </w:rPr>
        <w:t>,</w:t>
      </w:r>
      <w:r>
        <w:rPr>
          <w:rtl/>
        </w:rPr>
        <w:t xml:space="preserve"> כספים וזכויות שצבר המנוח </w:t>
      </w:r>
      <w:r>
        <w:rPr>
          <w:rFonts w:ascii="Arial" w:hAnsi="Arial"/>
          <w:noProof w:val="0"/>
          <w:rtl/>
        </w:rPr>
        <w:t>עד למועד הקרע בשנת 2000</w:t>
      </w:r>
      <w:r>
        <w:rPr>
          <w:rtl/>
        </w:rPr>
        <w:t>.</w:t>
      </w:r>
    </w:p>
    <w:p w:rsidR="005339E7" w:rsidRDefault="005339E7" w:rsidP="00153DA4">
      <w:pPr>
        <w:pStyle w:val="ad"/>
        <w:numPr>
          <w:ilvl w:val="0"/>
          <w:numId w:val="1"/>
        </w:numPr>
        <w:spacing w:after="160" w:line="360" w:lineRule="auto"/>
        <w:ind w:left="708" w:hanging="498"/>
        <w:contextualSpacing w:val="0"/>
        <w:jc w:val="both"/>
        <w:rPr>
          <w:rFonts w:ascii="Arial" w:hAnsi="Arial"/>
          <w:noProof w:val="0"/>
        </w:rPr>
      </w:pPr>
      <w:r>
        <w:rPr>
          <w:rFonts w:ascii="Arial" w:hAnsi="Arial"/>
          <w:noProof w:val="0"/>
          <w:rtl/>
        </w:rPr>
        <w:t>ממילא ספק אם היום ניתן לתת דין וחשבון לגבי פעולות שנעשו בכספים במרוצת 20 השנים האחרונות בדרך הצגת מסמכים בעניין זה. אין לצפות כי יישמרו מסמכים כאלה לזמן בלתי מוגבל.</w:t>
      </w:r>
    </w:p>
    <w:p w:rsidR="005339E7" w:rsidRDefault="005339E7" w:rsidP="00153DA4">
      <w:pPr>
        <w:pStyle w:val="ad"/>
        <w:numPr>
          <w:ilvl w:val="0"/>
          <w:numId w:val="1"/>
        </w:numPr>
        <w:spacing w:after="160" w:line="360" w:lineRule="auto"/>
        <w:ind w:left="708" w:hanging="498"/>
        <w:contextualSpacing w:val="0"/>
        <w:jc w:val="both"/>
        <w:rPr>
          <w:rFonts w:ascii="Arial" w:hAnsi="Arial"/>
          <w:noProof w:val="0"/>
        </w:rPr>
      </w:pPr>
      <w:r>
        <w:rPr>
          <w:rFonts w:ascii="Arial" w:hAnsi="Arial"/>
          <w:noProof w:val="0"/>
          <w:rtl/>
        </w:rPr>
        <w:t xml:space="preserve">מצאתי כי כל עוול שנגרם לתובעת, ככל ונגרם, נגרם בעטיה של התובעת עצמה ולא מצאתי כל בסיס לחייב את הנתבעת במתן חשבונות או בתשלום אותם חשבונות, למעלה משני עשורים מהמועד שבו היה על התובעת לפעול למימוש זכויותיה. </w:t>
      </w:r>
    </w:p>
    <w:p w:rsidR="005339E7" w:rsidRDefault="005339E7" w:rsidP="00153DA4">
      <w:pPr>
        <w:pStyle w:val="ad"/>
        <w:numPr>
          <w:ilvl w:val="0"/>
          <w:numId w:val="1"/>
        </w:numPr>
        <w:spacing w:after="160" w:line="360" w:lineRule="auto"/>
        <w:ind w:left="708" w:hanging="498"/>
        <w:contextualSpacing w:val="0"/>
        <w:jc w:val="both"/>
        <w:rPr>
          <w:rFonts w:ascii="Arial" w:hAnsi="Arial"/>
          <w:noProof w:val="0"/>
        </w:rPr>
      </w:pPr>
      <w:r>
        <w:rPr>
          <w:rFonts w:ascii="Arial" w:hAnsi="Arial"/>
          <w:noProof w:val="0"/>
          <w:rtl/>
        </w:rPr>
        <w:t>למותר לציין כי אין מקום לתת צו למתן חשבונות בעניין כספים ונכסים של המנוח עד למועד פטירתו של המנוח בשנת 2009 (סעיף 26 לכתב התביעה), שכן התובעת אינה יורשת של המנוח ואין זה מזכותה לעיין במסמכים הנוגעים לזכויותיו של המנוח.</w:t>
      </w:r>
    </w:p>
    <w:p w:rsidR="005339E7" w:rsidRDefault="00F4446B" w:rsidP="00153DA4">
      <w:pPr>
        <w:pStyle w:val="ad"/>
        <w:numPr>
          <w:ilvl w:val="0"/>
          <w:numId w:val="1"/>
        </w:numPr>
        <w:spacing w:after="160" w:line="360" w:lineRule="auto"/>
        <w:ind w:left="708" w:hanging="498"/>
        <w:contextualSpacing w:val="0"/>
        <w:jc w:val="both"/>
        <w:rPr>
          <w:rFonts w:ascii="Arial" w:hAnsi="Arial"/>
          <w:noProof w:val="0"/>
        </w:rPr>
      </w:pPr>
      <w:r>
        <w:rPr>
          <w:rFonts w:ascii="Arial" w:hAnsi="Arial" w:hint="cs"/>
          <w:noProof w:val="0"/>
          <w:rtl/>
        </w:rPr>
        <w:t>לפיכך</w:t>
      </w:r>
      <w:r w:rsidR="005339E7">
        <w:rPr>
          <w:rFonts w:ascii="Arial" w:hAnsi="Arial"/>
          <w:noProof w:val="0"/>
          <w:rtl/>
        </w:rPr>
        <w:t xml:space="preserve">, אני מוצאת כי דין </w:t>
      </w:r>
      <w:r>
        <w:rPr>
          <w:rFonts w:ascii="Arial" w:hAnsi="Arial" w:hint="cs"/>
          <w:noProof w:val="0"/>
          <w:rtl/>
        </w:rPr>
        <w:t>ה</w:t>
      </w:r>
      <w:r w:rsidR="005339E7">
        <w:rPr>
          <w:rFonts w:ascii="Arial" w:hAnsi="Arial"/>
          <w:noProof w:val="0"/>
          <w:rtl/>
        </w:rPr>
        <w:t xml:space="preserve">תביעה </w:t>
      </w:r>
      <w:r>
        <w:rPr>
          <w:rFonts w:ascii="Arial" w:hAnsi="Arial"/>
          <w:noProof w:val="0"/>
          <w:rtl/>
        </w:rPr>
        <w:t>למתן חשבונות להידחות על הסף</w:t>
      </w:r>
      <w:r w:rsidR="005339E7">
        <w:rPr>
          <w:rFonts w:ascii="Arial" w:hAnsi="Arial"/>
          <w:noProof w:val="0"/>
          <w:rtl/>
        </w:rPr>
        <w:t>, אם לא בשל התיישנות</w:t>
      </w:r>
      <w:r w:rsidR="00875FC2">
        <w:rPr>
          <w:rFonts w:ascii="Arial" w:hAnsi="Arial"/>
          <w:noProof w:val="0"/>
          <w:rtl/>
        </w:rPr>
        <w:t xml:space="preserve"> אזי בוודאי בשל שיהוי ניכר ב</w:t>
      </w:r>
      <w:r>
        <w:rPr>
          <w:rFonts w:ascii="Arial" w:hAnsi="Arial" w:hint="cs"/>
          <w:noProof w:val="0"/>
          <w:rtl/>
        </w:rPr>
        <w:t>הגשתה.</w:t>
      </w:r>
    </w:p>
    <w:p w:rsidR="005339E7" w:rsidRDefault="005339E7" w:rsidP="00F4446B">
      <w:pPr>
        <w:spacing w:after="120" w:line="360" w:lineRule="auto"/>
        <w:ind w:left="720"/>
        <w:contextualSpacing/>
        <w:jc w:val="both"/>
        <w:rPr>
          <w:rFonts w:ascii="Arial" w:hAnsi="Arial"/>
          <w:noProof w:val="0"/>
        </w:rPr>
      </w:pPr>
    </w:p>
    <w:p w:rsidR="005339E7" w:rsidRDefault="005339E7" w:rsidP="00303B03">
      <w:pPr>
        <w:ind w:left="720" w:hanging="720"/>
        <w:jc w:val="both"/>
        <w:rPr>
          <w:rFonts w:ascii="David" w:hAnsi="David"/>
          <w:noProof w:val="0"/>
          <w:color w:val="000000"/>
          <w:sz w:val="27"/>
          <w:szCs w:val="27"/>
        </w:rPr>
      </w:pPr>
      <w:r>
        <w:rPr>
          <w:rFonts w:ascii="David" w:hAnsi="David"/>
          <w:b/>
          <w:bCs/>
          <w:noProof w:val="0"/>
          <w:color w:val="000000"/>
          <w:sz w:val="27"/>
          <w:szCs w:val="27"/>
          <w:u w:val="single"/>
          <w:rtl/>
        </w:rPr>
        <w:t>תום לב</w:t>
      </w:r>
    </w:p>
    <w:p w:rsidR="005339E7" w:rsidRDefault="005339E7" w:rsidP="00303B03">
      <w:pPr>
        <w:ind w:left="720" w:hanging="720"/>
        <w:jc w:val="both"/>
        <w:rPr>
          <w:rFonts w:ascii="David" w:hAnsi="David"/>
          <w:noProof w:val="0"/>
          <w:color w:val="000000"/>
          <w:sz w:val="27"/>
          <w:szCs w:val="27"/>
          <w:rtl/>
        </w:rPr>
      </w:pPr>
    </w:p>
    <w:p w:rsidR="005339E7" w:rsidRDefault="005339E7" w:rsidP="00153DA4">
      <w:pPr>
        <w:pStyle w:val="ad"/>
        <w:numPr>
          <w:ilvl w:val="0"/>
          <w:numId w:val="1"/>
        </w:numPr>
        <w:spacing w:after="160" w:line="360" w:lineRule="auto"/>
        <w:ind w:left="708" w:hanging="498"/>
        <w:contextualSpacing w:val="0"/>
        <w:jc w:val="both"/>
        <w:rPr>
          <w:rFonts w:ascii="Arial" w:hAnsi="Arial"/>
          <w:noProof w:val="0"/>
        </w:rPr>
      </w:pPr>
      <w:r>
        <w:rPr>
          <w:rFonts w:ascii="Arial" w:hAnsi="Arial"/>
          <w:noProof w:val="0"/>
          <w:rtl/>
        </w:rPr>
        <w:t>"</w:t>
      </w:r>
      <w:r>
        <w:rPr>
          <w:rFonts w:ascii="Arial" w:hAnsi="Arial"/>
          <w:b/>
          <w:bCs/>
          <w:noProof w:val="0"/>
          <w:rtl/>
        </w:rPr>
        <w:t>עיקרון תום הלב חל בסדרי הדין וחובתו של בעל דין להפעיל את כוחותיו המשפטיים דיוניים בדרך מקובלת ובתום לב עליו לפעול כאדם סביר והוגן בנסיבות המיוחדות של המקרה</w:t>
      </w:r>
      <w:r>
        <w:rPr>
          <w:rFonts w:ascii="Arial" w:hAnsi="Arial"/>
          <w:noProof w:val="0"/>
          <w:rtl/>
        </w:rPr>
        <w:t>".</w:t>
      </w:r>
      <w:r>
        <w:rPr>
          <w:rFonts w:cs="Times New Roman" w:hint="cs"/>
          <w:noProof w:val="0"/>
          <w:color w:val="000000"/>
          <w:sz w:val="27"/>
          <w:szCs w:val="27"/>
          <w:rtl/>
        </w:rPr>
        <w:t xml:space="preserve"> </w:t>
      </w:r>
      <w:r>
        <w:rPr>
          <w:rFonts w:ascii="Arial" w:hAnsi="Arial"/>
          <w:noProof w:val="0"/>
          <w:rtl/>
        </w:rPr>
        <w:t>ראו: בש"א 2236/06 </w:t>
      </w:r>
      <w:r>
        <w:rPr>
          <w:rFonts w:ascii="Arial" w:hAnsi="Arial"/>
          <w:b/>
          <w:bCs/>
          <w:noProof w:val="0"/>
          <w:rtl/>
        </w:rPr>
        <w:t>עזרא חממי נ' אלברט אוחיון</w:t>
      </w:r>
      <w:r>
        <w:rPr>
          <w:rFonts w:ascii="Arial" w:hAnsi="Arial"/>
          <w:noProof w:val="0"/>
          <w:rtl/>
        </w:rPr>
        <w:t xml:space="preserve"> (פורסם במאגר "נבו"); כן ראה בר"ע 305/80 </w:t>
      </w:r>
      <w:r>
        <w:rPr>
          <w:rFonts w:ascii="Arial" w:hAnsi="Arial"/>
          <w:b/>
          <w:bCs/>
          <w:noProof w:val="0"/>
          <w:rtl/>
        </w:rPr>
        <w:t xml:space="preserve">שילה נ' רצ'קובסקי </w:t>
      </w:r>
      <w:r>
        <w:rPr>
          <w:rFonts w:ascii="Arial" w:hAnsi="Arial"/>
          <w:noProof w:val="0"/>
          <w:rtl/>
        </w:rPr>
        <w:t xml:space="preserve">פ"ד ל"ה (3) 449. </w:t>
      </w:r>
    </w:p>
    <w:p w:rsidR="005339E7" w:rsidRDefault="005339E7" w:rsidP="00153DA4">
      <w:pPr>
        <w:pStyle w:val="ad"/>
        <w:numPr>
          <w:ilvl w:val="0"/>
          <w:numId w:val="1"/>
        </w:numPr>
        <w:spacing w:after="160" w:line="360" w:lineRule="auto"/>
        <w:ind w:left="708" w:hanging="498"/>
        <w:contextualSpacing w:val="0"/>
        <w:jc w:val="both"/>
        <w:rPr>
          <w:rFonts w:ascii="Arial" w:hAnsi="Arial"/>
          <w:noProof w:val="0"/>
        </w:rPr>
      </w:pPr>
      <w:r>
        <w:rPr>
          <w:rFonts w:ascii="Arial" w:hAnsi="Arial"/>
          <w:noProof w:val="0"/>
          <w:rtl/>
        </w:rPr>
        <w:t xml:space="preserve">כידוע, בהליכים בענייני משפחה חלה חובת תום לב מוגברת </w:t>
      </w:r>
      <w:r w:rsidR="008F65B5">
        <w:rPr>
          <w:rFonts w:ascii="Arial" w:hAnsi="Arial" w:hint="cs"/>
          <w:noProof w:val="0"/>
          <w:rtl/>
        </w:rPr>
        <w:t>(</w:t>
      </w:r>
      <w:r>
        <w:rPr>
          <w:rFonts w:ascii="Arial" w:hAnsi="Arial"/>
          <w:noProof w:val="0"/>
          <w:rtl/>
        </w:rPr>
        <w:t>ראו: תלה"מ 33821-11-17 מיום 8.1.18 (פורסם בנבו)</w:t>
      </w:r>
      <w:r w:rsidR="008F65B5">
        <w:rPr>
          <w:rFonts w:ascii="Arial" w:hAnsi="Arial" w:hint="cs"/>
          <w:noProof w:val="0"/>
          <w:rtl/>
        </w:rPr>
        <w:t>)</w:t>
      </w:r>
      <w:r w:rsidR="008F65B5">
        <w:rPr>
          <w:rFonts w:ascii="Arial" w:hAnsi="Arial"/>
          <w:noProof w:val="0"/>
          <w:rtl/>
        </w:rPr>
        <w:t>.</w:t>
      </w:r>
    </w:p>
    <w:p w:rsidR="005339E7" w:rsidRDefault="005339E7" w:rsidP="00153DA4">
      <w:pPr>
        <w:pStyle w:val="ad"/>
        <w:numPr>
          <w:ilvl w:val="0"/>
          <w:numId w:val="1"/>
        </w:numPr>
        <w:spacing w:after="160" w:line="360" w:lineRule="auto"/>
        <w:ind w:left="708" w:hanging="498"/>
        <w:contextualSpacing w:val="0"/>
        <w:jc w:val="both"/>
        <w:rPr>
          <w:rFonts w:ascii="Arial" w:hAnsi="Arial"/>
          <w:noProof w:val="0"/>
        </w:rPr>
      </w:pPr>
      <w:r>
        <w:rPr>
          <w:rFonts w:ascii="Arial" w:hAnsi="Arial"/>
          <w:noProof w:val="0"/>
          <w:rtl/>
        </w:rPr>
        <w:t>בענייננו כמפורט לעיל, התובעת או מי מטעמה, מנסה להעלות מאוב טענות שכבר הועלו בעבר על ידה ונדחו על ידי שתי ערכאות לפחות. מצאתי כי יש בהתנהלות כזו מטעמה של התובעת יותר משמץ של קנטרנות וטורדנות במשמעות תקנה 41(א)(2) לתקנות סדר הדין האזרחי, ויתרה מכך, יש בכך גם חוסר תום לב.</w:t>
      </w:r>
    </w:p>
    <w:p w:rsidR="005339E7" w:rsidRDefault="008F65B5" w:rsidP="00153DA4">
      <w:pPr>
        <w:pStyle w:val="ad"/>
        <w:numPr>
          <w:ilvl w:val="0"/>
          <w:numId w:val="1"/>
        </w:numPr>
        <w:spacing w:after="160" w:line="360" w:lineRule="auto"/>
        <w:ind w:left="708" w:hanging="498"/>
        <w:contextualSpacing w:val="0"/>
        <w:jc w:val="both"/>
        <w:rPr>
          <w:rFonts w:ascii="Arial" w:hAnsi="Arial"/>
          <w:noProof w:val="0"/>
          <w:rtl/>
        </w:rPr>
      </w:pPr>
      <w:r>
        <w:rPr>
          <w:rFonts w:ascii="Arial" w:hAnsi="Arial" w:hint="cs"/>
          <w:noProof w:val="0"/>
          <w:rtl/>
        </w:rPr>
        <w:t xml:space="preserve">בנוסף </w:t>
      </w:r>
      <w:r w:rsidR="005339E7">
        <w:rPr>
          <w:rFonts w:ascii="Arial" w:hAnsi="Arial"/>
          <w:noProof w:val="0"/>
          <w:rtl/>
        </w:rPr>
        <w:t>מצאתי כי תביעה שמוגשת לאכוף הוראות בהסכם גירושין בחלוף של למעלה משני עשורים מהמועד בו נולדה עילתה- נגועה בחוסר תום לב קיצוני ודינה להידחות על הסף.</w:t>
      </w:r>
    </w:p>
    <w:p w:rsidR="005339E7" w:rsidRDefault="005339E7" w:rsidP="00153DA4">
      <w:pPr>
        <w:pStyle w:val="ad"/>
        <w:numPr>
          <w:ilvl w:val="0"/>
          <w:numId w:val="1"/>
        </w:numPr>
        <w:spacing w:after="160" w:line="360" w:lineRule="auto"/>
        <w:ind w:left="708" w:hanging="498"/>
        <w:contextualSpacing w:val="0"/>
        <w:jc w:val="both"/>
        <w:rPr>
          <w:rFonts w:ascii="Arial" w:hAnsi="Arial"/>
          <w:noProof w:val="0"/>
        </w:rPr>
      </w:pPr>
      <w:r>
        <w:rPr>
          <w:rFonts w:ascii="Arial" w:hAnsi="Arial"/>
          <w:noProof w:val="0"/>
          <w:rtl/>
        </w:rPr>
        <w:lastRenderedPageBreak/>
        <w:t>לא בכדי נקבע כי לבית המשפט זכות ולעתים חובה לסלק תביעות על הסף מקום שמגיש התביעה נוהג בחוסר תם לב (ראו: </w:t>
      </w:r>
      <w:r>
        <w:rPr>
          <w:rFonts w:ascii="Arial" w:eastAsiaTheme="majorEastAsia" w:hAnsi="Arial"/>
          <w:noProof w:val="0"/>
          <w:rtl/>
        </w:rPr>
        <w:t>רמ"ש (מחוזי ב"ש) 4184-10-15</w:t>
      </w:r>
      <w:r>
        <w:rPr>
          <w:rFonts w:ascii="Arial" w:hAnsi="Arial"/>
          <w:noProof w:val="0"/>
          <w:rtl/>
        </w:rPr>
        <w:t> </w:t>
      </w:r>
      <w:r>
        <w:rPr>
          <w:rFonts w:ascii="Arial" w:hAnsi="Arial"/>
          <w:b/>
          <w:bCs/>
          <w:noProof w:val="0"/>
          <w:rtl/>
        </w:rPr>
        <w:t>ע.ב. נ' ה.א.ב</w:t>
      </w:r>
      <w:r>
        <w:rPr>
          <w:rFonts w:ascii="Arial" w:hAnsi="Arial"/>
          <w:noProof w:val="0"/>
          <w:rtl/>
        </w:rPr>
        <w:t>. (קטינה) מיום 28.12.15 (פורסם בנבו) וזאת גם ביוזמת בית המשפט ראו: </w:t>
      </w:r>
      <w:r w:rsidRPr="00E85F8B">
        <w:rPr>
          <w:rFonts w:ascii="Arial" w:eastAsiaTheme="majorEastAsia" w:hAnsi="Arial"/>
          <w:noProof w:val="0"/>
          <w:rtl/>
        </w:rPr>
        <w:t>תמ"ש 42896-06-12</w:t>
      </w:r>
      <w:r>
        <w:rPr>
          <w:rFonts w:ascii="Arial" w:hAnsi="Arial"/>
          <w:noProof w:val="0"/>
          <w:rtl/>
        </w:rPr>
        <w:t> מיום 13.6.13 (פורסם בנבו).</w:t>
      </w:r>
    </w:p>
    <w:p w:rsidR="005339E7" w:rsidRPr="00E85F8B" w:rsidRDefault="005339E7" w:rsidP="00153DA4">
      <w:pPr>
        <w:pStyle w:val="ad"/>
        <w:numPr>
          <w:ilvl w:val="0"/>
          <w:numId w:val="1"/>
        </w:numPr>
        <w:spacing w:after="160" w:line="360" w:lineRule="auto"/>
        <w:ind w:left="708" w:hanging="498"/>
        <w:contextualSpacing w:val="0"/>
        <w:jc w:val="both"/>
        <w:rPr>
          <w:rFonts w:ascii="Arial" w:hAnsi="Arial"/>
          <w:noProof w:val="0"/>
        </w:rPr>
      </w:pPr>
      <w:r>
        <w:rPr>
          <w:rFonts w:ascii="Arial" w:hAnsi="Arial"/>
          <w:noProof w:val="0"/>
          <w:rtl/>
        </w:rPr>
        <w:t xml:space="preserve">בנסיבות </w:t>
      </w:r>
      <w:r w:rsidRPr="00E85F8B">
        <w:rPr>
          <w:rFonts w:ascii="Arial" w:hAnsi="Arial"/>
          <w:noProof w:val="0"/>
          <w:rtl/>
        </w:rPr>
        <w:t>אלה,</w:t>
      </w:r>
      <w:r w:rsidRPr="00E85F8B">
        <w:rPr>
          <w:rFonts w:ascii="David" w:hAnsi="David"/>
        </w:rPr>
        <w:t> </w:t>
      </w:r>
      <w:r w:rsidRPr="00E85F8B">
        <w:rPr>
          <w:rFonts w:ascii="David" w:hAnsi="David"/>
          <w:rtl/>
        </w:rPr>
        <w:t xml:space="preserve">דין </w:t>
      </w:r>
      <w:r w:rsidRPr="00E85F8B">
        <w:rPr>
          <w:rFonts w:ascii="Arial" w:hAnsi="Arial"/>
          <w:noProof w:val="0"/>
          <w:rtl/>
        </w:rPr>
        <w:t>התביעה</w:t>
      </w:r>
      <w:r w:rsidRPr="00E85F8B">
        <w:rPr>
          <w:rFonts w:ascii="David" w:hAnsi="David"/>
          <w:rtl/>
        </w:rPr>
        <w:t xml:space="preserve"> להידחות גם בשל היותה חסרת תום לב.</w:t>
      </w:r>
    </w:p>
    <w:p w:rsidR="005339E7" w:rsidRDefault="005339E7" w:rsidP="005339E7">
      <w:pPr>
        <w:spacing w:after="120" w:line="360" w:lineRule="auto"/>
        <w:jc w:val="both"/>
        <w:rPr>
          <w:rFonts w:ascii="Arial" w:hAnsi="Arial"/>
          <w:b/>
          <w:bCs/>
          <w:noProof w:val="0"/>
          <w:u w:val="single"/>
        </w:rPr>
      </w:pPr>
    </w:p>
    <w:p w:rsidR="005339E7" w:rsidRDefault="005339E7" w:rsidP="005339E7">
      <w:pPr>
        <w:spacing w:after="120" w:line="360" w:lineRule="auto"/>
        <w:jc w:val="both"/>
        <w:rPr>
          <w:rFonts w:ascii="Arial" w:hAnsi="Arial"/>
          <w:b/>
          <w:bCs/>
          <w:noProof w:val="0"/>
          <w:u w:val="single"/>
          <w:rtl/>
        </w:rPr>
      </w:pPr>
      <w:r>
        <w:rPr>
          <w:rFonts w:ascii="Arial" w:hAnsi="Arial"/>
          <w:b/>
          <w:bCs/>
          <w:noProof w:val="0"/>
          <w:u w:val="single"/>
          <w:rtl/>
        </w:rPr>
        <w:t>סיכומו של דבר</w:t>
      </w:r>
    </w:p>
    <w:p w:rsidR="005339E7" w:rsidRDefault="005339E7" w:rsidP="00153DA4">
      <w:pPr>
        <w:pStyle w:val="ad"/>
        <w:numPr>
          <w:ilvl w:val="0"/>
          <w:numId w:val="1"/>
        </w:numPr>
        <w:spacing w:after="160" w:line="360" w:lineRule="auto"/>
        <w:ind w:left="708" w:hanging="498"/>
        <w:contextualSpacing w:val="0"/>
        <w:jc w:val="both"/>
        <w:rPr>
          <w:rFonts w:ascii="Arial" w:hAnsi="Arial"/>
          <w:noProof w:val="0"/>
          <w:rtl/>
        </w:rPr>
      </w:pPr>
      <w:r>
        <w:rPr>
          <w:rFonts w:ascii="Arial" w:hAnsi="Arial"/>
          <w:noProof w:val="0"/>
          <w:rtl/>
        </w:rPr>
        <w:t>קיים מעשה בית דין בנוגע לסעד ההצהרתי המבוקש בתביעה. בנוסף, חל שיהוי ניכר ביחס לעילת התביעה למתן צו חשבונות, המצדיק את דחייתה.</w:t>
      </w:r>
    </w:p>
    <w:p w:rsidR="005339E7" w:rsidRDefault="005339E7" w:rsidP="00303B03">
      <w:pPr>
        <w:pStyle w:val="ad"/>
        <w:numPr>
          <w:ilvl w:val="0"/>
          <w:numId w:val="1"/>
        </w:numPr>
        <w:spacing w:after="160" w:line="360" w:lineRule="auto"/>
        <w:ind w:left="708" w:hanging="498"/>
        <w:contextualSpacing w:val="0"/>
        <w:jc w:val="both"/>
        <w:rPr>
          <w:rFonts w:ascii="Arial" w:hAnsi="Arial"/>
          <w:noProof w:val="0"/>
        </w:rPr>
      </w:pPr>
      <w:r>
        <w:rPr>
          <w:rFonts w:ascii="Arial" w:hAnsi="Arial"/>
          <w:noProof w:val="0"/>
          <w:rtl/>
        </w:rPr>
        <w:t>בית המשפט ער לעובדה שהסעד של סילוק תביעה על הסף הוא "סעד נוקשה" בלשון הפסיקה (ראה בע"מ 8194/08 </w:t>
      </w:r>
      <w:r>
        <w:rPr>
          <w:rFonts w:ascii="Arial" w:hAnsi="Arial"/>
          <w:b/>
          <w:bCs/>
          <w:noProof w:val="0"/>
          <w:rtl/>
        </w:rPr>
        <w:t>פלונית נ' פלוני </w:t>
      </w:r>
      <w:r>
        <w:rPr>
          <w:rFonts w:ascii="Arial" w:hAnsi="Arial"/>
          <w:noProof w:val="0"/>
          <w:rtl/>
        </w:rPr>
        <w:t>(פורסם במאגר "נבו"), ואולם בענייננו אין תיקון שיכול היה לרפא את התביעה באופן שתוכל להתברר, ולפיכך דינה להיות מסולקת על הסף, אפוא.</w:t>
      </w:r>
    </w:p>
    <w:p w:rsidR="005339E7" w:rsidRDefault="005339E7" w:rsidP="00303B03">
      <w:pPr>
        <w:pStyle w:val="ad"/>
        <w:numPr>
          <w:ilvl w:val="0"/>
          <w:numId w:val="1"/>
        </w:numPr>
        <w:spacing w:after="160" w:line="360" w:lineRule="auto"/>
        <w:ind w:left="708" w:hanging="498"/>
        <w:contextualSpacing w:val="0"/>
        <w:jc w:val="both"/>
        <w:rPr>
          <w:rFonts w:ascii="Arial" w:hAnsi="Arial"/>
          <w:noProof w:val="0"/>
        </w:rPr>
      </w:pPr>
      <w:r>
        <w:rPr>
          <w:rFonts w:ascii="Arial" w:hAnsi="Arial"/>
          <w:noProof w:val="0"/>
          <w:rtl/>
        </w:rPr>
        <w:t xml:space="preserve">ניתן להיווכח מהדיון האמור לעיל ומהשתלשלות ההליכים כי ניתן לתובעת יומה שוב ושוב </w:t>
      </w:r>
      <w:r w:rsidR="00E0624D">
        <w:rPr>
          <w:rFonts w:ascii="Arial" w:hAnsi="Arial" w:hint="cs"/>
          <w:noProof w:val="0"/>
          <w:rtl/>
        </w:rPr>
        <w:t>ב</w:t>
      </w:r>
      <w:r>
        <w:rPr>
          <w:rFonts w:ascii="Arial" w:hAnsi="Arial"/>
          <w:noProof w:val="0"/>
          <w:rtl/>
        </w:rPr>
        <w:t xml:space="preserve">בית המשפט, ולכן במאזן </w:t>
      </w:r>
      <w:r w:rsidR="00566565">
        <w:rPr>
          <w:rFonts w:ascii="Arial" w:hAnsi="Arial" w:hint="cs"/>
          <w:noProof w:val="0"/>
          <w:rtl/>
        </w:rPr>
        <w:t>ש</w:t>
      </w:r>
      <w:r>
        <w:rPr>
          <w:rFonts w:ascii="Arial" w:hAnsi="Arial"/>
          <w:noProof w:val="0"/>
          <w:rtl/>
        </w:rPr>
        <w:t>בין זכות הגישה לערכאות ל</w:t>
      </w:r>
      <w:r w:rsidR="00566565">
        <w:rPr>
          <w:rFonts w:ascii="Arial" w:hAnsi="Arial" w:hint="cs"/>
          <w:noProof w:val="0"/>
          <w:rtl/>
        </w:rPr>
        <w:t xml:space="preserve">בין </w:t>
      </w:r>
      <w:r>
        <w:rPr>
          <w:rFonts w:ascii="Arial" w:hAnsi="Arial"/>
          <w:noProof w:val="0"/>
          <w:rtl/>
        </w:rPr>
        <w:t>זכות הנתבעת לא להיות מוטרדת שוב באותו עניין, הכף נוטה בבירור לטובת האחרונה.</w:t>
      </w:r>
    </w:p>
    <w:p w:rsidR="005339E7" w:rsidRDefault="005339E7" w:rsidP="008F65B5">
      <w:pPr>
        <w:pStyle w:val="ad"/>
        <w:numPr>
          <w:ilvl w:val="0"/>
          <w:numId w:val="1"/>
        </w:numPr>
        <w:spacing w:after="160" w:line="360" w:lineRule="auto"/>
        <w:ind w:left="708" w:hanging="498"/>
        <w:contextualSpacing w:val="0"/>
        <w:jc w:val="both"/>
        <w:rPr>
          <w:rFonts w:ascii="Arial" w:hAnsi="Arial"/>
          <w:noProof w:val="0"/>
        </w:rPr>
      </w:pPr>
      <w:r>
        <w:rPr>
          <w:rFonts w:ascii="Arial" w:hAnsi="Arial"/>
          <w:noProof w:val="0"/>
          <w:rtl/>
        </w:rPr>
        <w:t>לא היה כל מקום להגשת הליך זה וטוב תעשה התובעת אם תחדל מהגשת הליכים משפטיים ותשקיע מרצה בשיקום אישי ומשפחת</w:t>
      </w:r>
      <w:r w:rsidR="008F65B5">
        <w:rPr>
          <w:rFonts w:ascii="Arial" w:hAnsi="Arial"/>
          <w:noProof w:val="0"/>
          <w:rtl/>
        </w:rPr>
        <w:t>י</w:t>
      </w:r>
      <w:r w:rsidR="008F65B5">
        <w:rPr>
          <w:rFonts w:ascii="Arial" w:hAnsi="Arial" w:hint="cs"/>
          <w:noProof w:val="0"/>
          <w:rtl/>
        </w:rPr>
        <w:t>.</w:t>
      </w:r>
    </w:p>
    <w:p w:rsidR="005339E7" w:rsidRDefault="005339E7" w:rsidP="00303B03">
      <w:pPr>
        <w:pStyle w:val="ad"/>
        <w:numPr>
          <w:ilvl w:val="0"/>
          <w:numId w:val="1"/>
        </w:numPr>
        <w:spacing w:after="160" w:line="360" w:lineRule="auto"/>
        <w:ind w:left="708" w:hanging="498"/>
        <w:contextualSpacing w:val="0"/>
        <w:jc w:val="both"/>
        <w:rPr>
          <w:rFonts w:ascii="Arial" w:hAnsi="Arial"/>
          <w:noProof w:val="0"/>
        </w:rPr>
      </w:pPr>
      <w:r>
        <w:rPr>
          <w:rFonts w:ascii="Arial" w:hAnsi="Arial"/>
          <w:noProof w:val="0"/>
          <w:rtl/>
        </w:rPr>
        <w:t>לאור כל הנימוקים המפורטים לעיל, אני מורה על דחיית התביעה.</w:t>
      </w:r>
    </w:p>
    <w:p w:rsidR="005339E7" w:rsidRDefault="005339E7" w:rsidP="008F65B5">
      <w:pPr>
        <w:pStyle w:val="ad"/>
        <w:numPr>
          <w:ilvl w:val="0"/>
          <w:numId w:val="1"/>
        </w:numPr>
        <w:spacing w:after="160" w:line="360" w:lineRule="auto"/>
        <w:ind w:left="708" w:hanging="498"/>
        <w:contextualSpacing w:val="0"/>
        <w:jc w:val="both"/>
        <w:rPr>
          <w:rFonts w:ascii="Arial" w:hAnsi="Arial"/>
          <w:noProof w:val="0"/>
        </w:rPr>
      </w:pPr>
      <w:r w:rsidRPr="00303B03">
        <w:rPr>
          <w:rFonts w:ascii="Arial" w:hAnsi="Arial"/>
          <w:noProof w:val="0"/>
          <w:rtl/>
        </w:rPr>
        <w:t>התובעת</w:t>
      </w:r>
      <w:r>
        <w:rPr>
          <w:rFonts w:ascii="Arial" w:hAnsi="Arial"/>
          <w:noProof w:val="0"/>
          <w:rtl/>
        </w:rPr>
        <w:t xml:space="preserve"> תישא בהוצאות הנתבעת לרבות שכ"ט עו"ד בסך </w:t>
      </w:r>
      <w:r w:rsidR="008F65B5">
        <w:rPr>
          <w:rFonts w:ascii="Arial" w:hAnsi="Arial" w:hint="cs"/>
          <w:noProof w:val="0"/>
          <w:rtl/>
        </w:rPr>
        <w:t>5</w:t>
      </w:r>
      <w:r>
        <w:rPr>
          <w:rFonts w:ascii="Arial" w:hAnsi="Arial"/>
          <w:noProof w:val="0"/>
          <w:rtl/>
        </w:rPr>
        <w:t>,000 ₪ בצירוף מע"מ כחוק.</w:t>
      </w:r>
    </w:p>
    <w:p w:rsidR="005339E7" w:rsidRDefault="005339E7" w:rsidP="00303B03">
      <w:pPr>
        <w:pStyle w:val="ad"/>
        <w:numPr>
          <w:ilvl w:val="0"/>
          <w:numId w:val="1"/>
        </w:numPr>
        <w:spacing w:after="160" w:line="360" w:lineRule="auto"/>
        <w:ind w:left="708" w:hanging="498"/>
        <w:contextualSpacing w:val="0"/>
        <w:jc w:val="both"/>
        <w:rPr>
          <w:rFonts w:ascii="Arial" w:hAnsi="Arial"/>
          <w:noProof w:val="0"/>
        </w:rPr>
      </w:pPr>
      <w:r w:rsidRPr="00E85F8B">
        <w:rPr>
          <w:rtl/>
        </w:rPr>
        <w:t xml:space="preserve">ניתן </w:t>
      </w:r>
      <w:r w:rsidRPr="00E85F8B">
        <w:rPr>
          <w:rFonts w:ascii="Arial" w:hAnsi="Arial"/>
          <w:noProof w:val="0"/>
          <w:rtl/>
        </w:rPr>
        <w:t>לפרסום</w:t>
      </w:r>
      <w:r w:rsidRPr="00E85F8B">
        <w:rPr>
          <w:rtl/>
        </w:rPr>
        <w:t xml:space="preserve"> </w:t>
      </w:r>
      <w:r w:rsidRPr="00E85F8B">
        <w:rPr>
          <w:rFonts w:ascii="Arial" w:hAnsi="Arial"/>
          <w:noProof w:val="0"/>
          <w:rtl/>
        </w:rPr>
        <w:t>ללא שמות הצדדים</w:t>
      </w:r>
      <w:r>
        <w:rPr>
          <w:rFonts w:ascii="Arial" w:hAnsi="Arial"/>
          <w:noProof w:val="0"/>
          <w:rtl/>
        </w:rPr>
        <w:t xml:space="preserve"> ופרטים מזהים.</w:t>
      </w:r>
    </w:p>
    <w:p w:rsidR="005339E7" w:rsidRDefault="005339E7" w:rsidP="00303B03">
      <w:pPr>
        <w:pStyle w:val="ad"/>
        <w:numPr>
          <w:ilvl w:val="0"/>
          <w:numId w:val="1"/>
        </w:numPr>
        <w:spacing w:after="160" w:line="360" w:lineRule="auto"/>
        <w:ind w:left="708" w:hanging="498"/>
        <w:contextualSpacing w:val="0"/>
        <w:jc w:val="both"/>
        <w:rPr>
          <w:rFonts w:ascii="Arial" w:hAnsi="Arial"/>
          <w:noProof w:val="0"/>
        </w:rPr>
      </w:pPr>
      <w:r>
        <w:rPr>
          <w:rFonts w:ascii="Arial" w:hAnsi="Arial"/>
          <w:noProof w:val="0"/>
          <w:rtl/>
        </w:rPr>
        <w:t>התיק ייסגר.</w:t>
      </w:r>
    </w:p>
    <w:p w:rsidR="005B0F49" w:rsidRDefault="00005C8B" w:rsidP="001E4356">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כ' אב תשפ"ג</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07 אוגוסט 2023</w:t>
          </w:r>
        </w:sdtContent>
      </w:sdt>
      <w:r>
        <w:rPr>
          <w:rFonts w:ascii="Arial" w:hAnsi="Arial"/>
          <w:noProof w:val="0"/>
          <w:rtl/>
        </w:rPr>
        <w:t>, בהעדר הצדדים.</w:t>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sidR="005B0F49">
        <w:rPr>
          <w:rFonts w:ascii="Arial" w:hAnsi="Arial" w:hint="cs"/>
          <w:noProof w:val="0"/>
          <w:rtl/>
        </w:rPr>
        <w:tab/>
      </w:r>
      <w:r w:rsidR="005B0F49">
        <w:rPr>
          <w:rFonts w:ascii="Arial" w:hAnsi="Arial" w:hint="cs"/>
          <w:noProof w:val="0"/>
          <w:rtl/>
        </w:rPr>
        <w:tab/>
      </w:r>
      <w:r w:rsidR="00633C4F">
        <w:rPr>
          <w:rFonts w:ascii="Arial" w:hAnsi="Arial"/>
          <w:noProof w:val="0"/>
          <w:rtl/>
        </w:rPr>
        <w:t xml:space="preserve"> </w:t>
      </w:r>
    </w:p>
    <w:p w:rsidR="00694556" w:rsidRPr="001E4356" w:rsidRDefault="00CD6A0A" w:rsidP="001E4356">
      <w:pPr>
        <w:spacing w:line="360" w:lineRule="auto"/>
        <w:ind w:left="3600" w:firstLine="720"/>
        <w:rPr>
          <w:rtl/>
        </w:rPr>
      </w:pPr>
      <w:sdt>
        <w:sdtPr>
          <w:rPr>
            <w:rtl/>
          </w:rPr>
          <w:alias w:val="MergeField"/>
          <w:tag w:val="1237"/>
          <w:id w:val="323637107"/>
        </w:sdtPr>
        <w:sdtEndPr/>
        <w:sdtContent>
          <w:r w:rsidR="001E4356">
            <w:drawing>
              <wp:inline distT="0" distB="0" distL="0" distR="0" wp14:editId="50D07946">
                <wp:extent cx="2752725" cy="1123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2752725" cy="1123950"/>
                        </a:xfrm>
                        <a:prstGeom prst="rect">
                          <a:avLst/>
                        </a:prstGeom>
                      </pic:spPr>
                    </pic:pic>
                  </a:graphicData>
                </a:graphic>
              </wp:inline>
            </w:drawing>
          </w:r>
        </w:sdtContent>
      </w:sdt>
    </w:p>
    <w:sectPr w:rsidR="00694556" w:rsidRPr="001E4356" w:rsidSect="00903896">
      <w:headerReference w:type="even" r:id="rId9"/>
      <w:headerReference w:type="default" r:id="rId10"/>
      <w:footerReference w:type="even" r:id="rId11"/>
      <w:footerReference w:type="default" r:id="rId12"/>
      <w:headerReference w:type="first" r:id="rId13"/>
      <w:footerReference w:type="first" r:id="rId14"/>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310E" w:rsidRDefault="0040310E">
      <w:r>
        <w:separator/>
      </w:r>
    </w:p>
  </w:endnote>
  <w:endnote w:type="continuationSeparator" w:id="0">
    <w:p w:rsidR="0040310E" w:rsidRDefault="004031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6A0A" w:rsidRDefault="00CD6A0A">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CD6A0A">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CD6A0A">
      <w:rPr>
        <w:rStyle w:val="ab"/>
        <w:rtl/>
      </w:rPr>
      <w:t>14</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6A0A" w:rsidRDefault="00CD6A0A">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310E" w:rsidRDefault="0040310E">
      <w:r>
        <w:separator/>
      </w:r>
    </w:p>
  </w:footnote>
  <w:footnote w:type="continuationSeparator" w:id="0">
    <w:p w:rsidR="0040310E" w:rsidRDefault="004031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6A0A" w:rsidRDefault="00CD6A0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505"/>
    </w:tblGrid>
    <w:tr w:rsidR="00694556" w:rsidTr="00953F6C">
      <w:trPr>
        <w:trHeight w:hRule="exact" w:val="670"/>
        <w:jc w:val="center"/>
      </w:trPr>
      <w:sdt>
        <w:sdtPr>
          <w:rPr>
            <w:rtl/>
          </w:rPr>
          <w:alias w:val="1174"/>
          <w:tag w:val="1174"/>
          <w:id w:val="-1775709220"/>
          <w:text/>
        </w:sdtPr>
        <w:sdtEndPr/>
        <w:sdtContent>
          <w:tc>
            <w:tcPr>
              <w:tcW w:w="8505" w:type="dxa"/>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בראשון לציון</w:t>
              </w:r>
            </w:p>
          </w:tc>
        </w:sdtContent>
      </w:sdt>
    </w:tr>
    <w:tr w:rsidR="00694556" w:rsidTr="00953F6C">
      <w:trPr>
        <w:trHeight w:val="337"/>
        <w:jc w:val="center"/>
      </w:trPr>
      <w:tc>
        <w:tcPr>
          <w:tcW w:w="8505" w:type="dxa"/>
        </w:tcPr>
        <w:p w:rsidR="00694556" w:rsidRDefault="00CD6A0A" w:rsidP="00641071">
          <w:pPr>
            <w:rPr>
              <w:b/>
              <w:bCs/>
              <w:noProof w:val="0"/>
              <w:sz w:val="26"/>
              <w:szCs w:val="26"/>
              <w:rtl/>
            </w:rPr>
          </w:pPr>
          <w:sdt>
            <w:sdtPr>
              <w:rPr>
                <w:b/>
                <w:bCs/>
                <w:noProof w:val="0"/>
                <w:sz w:val="26"/>
                <w:szCs w:val="26"/>
                <w:rtl/>
              </w:rPr>
              <w:alias w:val="1170"/>
              <w:tag w:val="1170"/>
              <w:id w:val="299038016"/>
              <w:text w:multiLine="1"/>
            </w:sdtPr>
            <w:sdtEndPr/>
            <w:sdtContent>
              <w:r w:rsidR="00E44DDF">
                <w:rPr>
                  <w:b/>
                  <w:bCs/>
                  <w:noProof w:val="0"/>
                  <w:sz w:val="26"/>
                  <w:szCs w:val="26"/>
                  <w:rtl/>
                </w:rPr>
                <w:t>תמ"ש</w:t>
              </w:r>
            </w:sdtContent>
          </w:sdt>
          <w:r w:rsidR="00005C8B">
            <w:rPr>
              <w:b/>
              <w:bCs/>
              <w:noProof w:val="0"/>
              <w:sz w:val="26"/>
              <w:szCs w:val="26"/>
              <w:rtl/>
            </w:rPr>
            <w:t xml:space="preserve"> </w:t>
          </w:r>
          <w:bookmarkStart w:id="0" w:name="_GoBack"/>
          <w:sdt>
            <w:sdtPr>
              <w:rPr>
                <w:b/>
                <w:bCs/>
                <w:noProof w:val="0"/>
                <w:sz w:val="26"/>
                <w:szCs w:val="26"/>
                <w:rtl/>
              </w:rPr>
              <w:alias w:val="1171"/>
              <w:tag w:val="1171"/>
              <w:id w:val="81650337"/>
              <w:text w:multiLine="1"/>
            </w:sdtPr>
            <w:sdtEndPr/>
            <w:sdtContent>
              <w:r w:rsidR="00E44DDF">
                <w:rPr>
                  <w:b/>
                  <w:bCs/>
                  <w:noProof w:val="0"/>
                  <w:sz w:val="26"/>
                  <w:szCs w:val="26"/>
                  <w:rtl/>
                </w:rPr>
                <w:t>62416-10-20</w:t>
              </w:r>
            </w:sdtContent>
          </w:sdt>
          <w:bookmarkEnd w:id="0"/>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E44DDF">
                <w:rPr>
                  <w:b/>
                  <w:bCs/>
                  <w:noProof w:val="0"/>
                  <w:sz w:val="26"/>
                  <w:szCs w:val="26"/>
                  <w:rtl/>
                </w:rPr>
                <w:t>מ</w:t>
              </w:r>
              <w:r w:rsidR="00641071">
                <w:rPr>
                  <w:rFonts w:hint="cs"/>
                  <w:b/>
                  <w:bCs/>
                  <w:noProof w:val="0"/>
                  <w:sz w:val="26"/>
                  <w:szCs w:val="26"/>
                  <w:rtl/>
                </w:rPr>
                <w:t>'</w:t>
              </w:r>
              <w:r w:rsidR="00E44DDF">
                <w:rPr>
                  <w:b/>
                  <w:bCs/>
                  <w:noProof w:val="0"/>
                  <w:sz w:val="26"/>
                  <w:szCs w:val="26"/>
                  <w:rtl/>
                </w:rPr>
                <w:t xml:space="preserve"> נ' ב</w:t>
              </w:r>
              <w:r w:rsidR="00641071">
                <w:rPr>
                  <w:rFonts w:hint="cs"/>
                  <w:b/>
                  <w:bCs/>
                  <w:noProof w:val="0"/>
                  <w:sz w:val="26"/>
                  <w:szCs w:val="26"/>
                  <w:rtl/>
                </w:rPr>
                <w:t>' מ'</w:t>
              </w:r>
              <w:r w:rsidR="00E44DDF">
                <w:rPr>
                  <w:b/>
                  <w:bCs/>
                  <w:noProof w:val="0"/>
                  <w:sz w:val="26"/>
                  <w:szCs w:val="26"/>
                  <w:rtl/>
                </w:rPr>
                <w:t xml:space="preserve"> ואח'</w:t>
              </w:r>
            </w:sdtContent>
          </w:sdt>
        </w:p>
        <w:p w:rsidR="00694556" w:rsidRPr="00957C90" w:rsidRDefault="00694556">
          <w:pPr>
            <w:rPr>
              <w:b/>
              <w:bCs/>
              <w:noProof w:val="0"/>
              <w:sz w:val="2"/>
              <w:szCs w:val="2"/>
              <w:rtl/>
            </w:rPr>
          </w:pPr>
        </w:p>
        <w:p w:rsidR="0043595F" w:rsidRDefault="00957C90" w:rsidP="00957C90">
          <w:pPr>
            <w:rPr>
              <w:rFonts w:hint="cs"/>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6A0A" w:rsidRDefault="00CD6A0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BB4862"/>
    <w:multiLevelType w:val="hybridMultilevel"/>
    <w:tmpl w:val="AD32D5BE"/>
    <w:lvl w:ilvl="0" w:tplc="45B2237E">
      <w:start w:val="1"/>
      <w:numFmt w:val="decimal"/>
      <w:lvlText w:val="%1."/>
      <w:lvlJc w:val="left"/>
      <w:pPr>
        <w:ind w:left="720" w:hanging="360"/>
      </w:pPr>
      <w:rPr>
        <w:b w:val="0"/>
        <w:bCs w:val="0"/>
        <w:lang w:bidi="he-I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6F803E88"/>
    <w:multiLevelType w:val="hybridMultilevel"/>
    <w:tmpl w:val="B16AA5D0"/>
    <w:lvl w:ilvl="0" w:tplc="ED0ECB16">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71227FE2"/>
    <w:multiLevelType w:val="hybridMultilevel"/>
    <w:tmpl w:val="56FA0C6A"/>
    <w:lvl w:ilvl="0" w:tplc="62B40F5A">
      <w:start w:val="1"/>
      <w:numFmt w:val="decimal"/>
      <w:lvlText w:val="%1."/>
      <w:lvlJc w:val="left"/>
      <w:pPr>
        <w:ind w:left="720" w:hanging="360"/>
      </w:pPr>
      <w:rPr>
        <w:rFonts w:ascii="David" w:hAnsi="David" w:cs="David" w:hint="default"/>
        <w:b w:val="0"/>
        <w:bCs w:val="0"/>
        <w:sz w:val="24"/>
        <w:szCs w:val="24"/>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isplayBackgroundShape/>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15D8"/>
    <w:rsid w:val="00005C8B"/>
    <w:rsid w:val="000146C2"/>
    <w:rsid w:val="0001588A"/>
    <w:rsid w:val="00016C35"/>
    <w:rsid w:val="000258FD"/>
    <w:rsid w:val="00047743"/>
    <w:rsid w:val="000564AB"/>
    <w:rsid w:val="000757E7"/>
    <w:rsid w:val="000800FB"/>
    <w:rsid w:val="000D2EEE"/>
    <w:rsid w:val="000D4A02"/>
    <w:rsid w:val="001072A9"/>
    <w:rsid w:val="00121F97"/>
    <w:rsid w:val="0012278F"/>
    <w:rsid w:val="001277D7"/>
    <w:rsid w:val="00132017"/>
    <w:rsid w:val="0014234E"/>
    <w:rsid w:val="001439B2"/>
    <w:rsid w:val="00145A87"/>
    <w:rsid w:val="00147858"/>
    <w:rsid w:val="00153DA4"/>
    <w:rsid w:val="001613A9"/>
    <w:rsid w:val="00174F39"/>
    <w:rsid w:val="001B60E9"/>
    <w:rsid w:val="001C4003"/>
    <w:rsid w:val="001C5F6D"/>
    <w:rsid w:val="001E4356"/>
    <w:rsid w:val="001F5474"/>
    <w:rsid w:val="00201711"/>
    <w:rsid w:val="002352F7"/>
    <w:rsid w:val="0027277D"/>
    <w:rsid w:val="002778FA"/>
    <w:rsid w:val="002B730A"/>
    <w:rsid w:val="002E7DF3"/>
    <w:rsid w:val="00303B03"/>
    <w:rsid w:val="00316A77"/>
    <w:rsid w:val="0033385A"/>
    <w:rsid w:val="00343E54"/>
    <w:rsid w:val="003536EB"/>
    <w:rsid w:val="00381D3A"/>
    <w:rsid w:val="003823DA"/>
    <w:rsid w:val="00393891"/>
    <w:rsid w:val="003953E2"/>
    <w:rsid w:val="003E3554"/>
    <w:rsid w:val="0040310E"/>
    <w:rsid w:val="0042717D"/>
    <w:rsid w:val="0043595F"/>
    <w:rsid w:val="0047645A"/>
    <w:rsid w:val="004A1FD9"/>
    <w:rsid w:val="004D49A3"/>
    <w:rsid w:val="004D50AC"/>
    <w:rsid w:val="004E6E3C"/>
    <w:rsid w:val="005124F1"/>
    <w:rsid w:val="00530BAD"/>
    <w:rsid w:val="005339E7"/>
    <w:rsid w:val="00541598"/>
    <w:rsid w:val="00541F47"/>
    <w:rsid w:val="00547DB7"/>
    <w:rsid w:val="00566565"/>
    <w:rsid w:val="00567324"/>
    <w:rsid w:val="005B0F49"/>
    <w:rsid w:val="005C7EC6"/>
    <w:rsid w:val="005D4BDB"/>
    <w:rsid w:val="00622BAA"/>
    <w:rsid w:val="00625C89"/>
    <w:rsid w:val="00633C4F"/>
    <w:rsid w:val="00641071"/>
    <w:rsid w:val="00643425"/>
    <w:rsid w:val="00671BD5"/>
    <w:rsid w:val="006805C1"/>
    <w:rsid w:val="006816EC"/>
    <w:rsid w:val="00694556"/>
    <w:rsid w:val="006959FC"/>
    <w:rsid w:val="006B6C04"/>
    <w:rsid w:val="006C3686"/>
    <w:rsid w:val="006E1A53"/>
    <w:rsid w:val="006E3CE7"/>
    <w:rsid w:val="007056AA"/>
    <w:rsid w:val="00715F3D"/>
    <w:rsid w:val="00744F41"/>
    <w:rsid w:val="00772AF0"/>
    <w:rsid w:val="00774AFC"/>
    <w:rsid w:val="007A02B1"/>
    <w:rsid w:val="007A24FE"/>
    <w:rsid w:val="007A35AA"/>
    <w:rsid w:val="007F1048"/>
    <w:rsid w:val="0081763D"/>
    <w:rsid w:val="00820005"/>
    <w:rsid w:val="00846D27"/>
    <w:rsid w:val="00853D32"/>
    <w:rsid w:val="008610A7"/>
    <w:rsid w:val="00875FC2"/>
    <w:rsid w:val="008B08AD"/>
    <w:rsid w:val="008E1332"/>
    <w:rsid w:val="008E7E9A"/>
    <w:rsid w:val="008F65B5"/>
    <w:rsid w:val="00903896"/>
    <w:rsid w:val="00907308"/>
    <w:rsid w:val="00927813"/>
    <w:rsid w:val="00944D13"/>
    <w:rsid w:val="00953F6C"/>
    <w:rsid w:val="00957C90"/>
    <w:rsid w:val="009720FE"/>
    <w:rsid w:val="009B70F6"/>
    <w:rsid w:val="009C358E"/>
    <w:rsid w:val="009E0263"/>
    <w:rsid w:val="009E67C4"/>
    <w:rsid w:val="009F0555"/>
    <w:rsid w:val="00A267CF"/>
    <w:rsid w:val="00A43458"/>
    <w:rsid w:val="00A73DA2"/>
    <w:rsid w:val="00A9200B"/>
    <w:rsid w:val="00AC4E19"/>
    <w:rsid w:val="00AC6074"/>
    <w:rsid w:val="00AC6BB2"/>
    <w:rsid w:val="00AF1ED6"/>
    <w:rsid w:val="00B32C61"/>
    <w:rsid w:val="00B33049"/>
    <w:rsid w:val="00B368FE"/>
    <w:rsid w:val="00B671D6"/>
    <w:rsid w:val="00B80CBD"/>
    <w:rsid w:val="00B865E8"/>
    <w:rsid w:val="00B93463"/>
    <w:rsid w:val="00BA7CCD"/>
    <w:rsid w:val="00BC3369"/>
    <w:rsid w:val="00BD5323"/>
    <w:rsid w:val="00BF77EE"/>
    <w:rsid w:val="00C16687"/>
    <w:rsid w:val="00C32E0F"/>
    <w:rsid w:val="00C42BF9"/>
    <w:rsid w:val="00C67EA8"/>
    <w:rsid w:val="00C83E56"/>
    <w:rsid w:val="00CB6A07"/>
    <w:rsid w:val="00CC63CE"/>
    <w:rsid w:val="00CD6A0A"/>
    <w:rsid w:val="00CF2B04"/>
    <w:rsid w:val="00D1092F"/>
    <w:rsid w:val="00D247A8"/>
    <w:rsid w:val="00D319B3"/>
    <w:rsid w:val="00D36A71"/>
    <w:rsid w:val="00D53924"/>
    <w:rsid w:val="00D60849"/>
    <w:rsid w:val="00D70671"/>
    <w:rsid w:val="00D805CE"/>
    <w:rsid w:val="00D954D7"/>
    <w:rsid w:val="00D96D8C"/>
    <w:rsid w:val="00DA755B"/>
    <w:rsid w:val="00DB0891"/>
    <w:rsid w:val="00DD337E"/>
    <w:rsid w:val="00E00B6F"/>
    <w:rsid w:val="00E0624D"/>
    <w:rsid w:val="00E067A2"/>
    <w:rsid w:val="00E424D4"/>
    <w:rsid w:val="00E44C27"/>
    <w:rsid w:val="00E44DDF"/>
    <w:rsid w:val="00E54642"/>
    <w:rsid w:val="00E758BA"/>
    <w:rsid w:val="00E85F8B"/>
    <w:rsid w:val="00E97908"/>
    <w:rsid w:val="00EF3ED0"/>
    <w:rsid w:val="00F17E56"/>
    <w:rsid w:val="00F4446B"/>
    <w:rsid w:val="00FB7D5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character" w:styleId="Hyperlink">
    <w:name w:val="Hyperlink"/>
    <w:basedOn w:val="a0"/>
    <w:uiPriority w:val="99"/>
    <w:semiHidden/>
    <w:unhideWhenUsed/>
    <w:rsid w:val="005339E7"/>
    <w:rPr>
      <w:color w:val="0000FF"/>
      <w:u w:val="single"/>
    </w:rPr>
  </w:style>
  <w:style w:type="paragraph" w:styleId="ad">
    <w:name w:val="List Paragraph"/>
    <w:basedOn w:val="a"/>
    <w:uiPriority w:val="34"/>
    <w:qFormat/>
    <w:rsid w:val="005339E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34342">
      <w:bodyDiv w:val="1"/>
      <w:marLeft w:val="0"/>
      <w:marRight w:val="0"/>
      <w:marTop w:val="0"/>
      <w:marBottom w:val="0"/>
      <w:divBdr>
        <w:top w:val="none" w:sz="0" w:space="0" w:color="auto"/>
        <w:left w:val="none" w:sz="0" w:space="0" w:color="auto"/>
        <w:bottom w:val="none" w:sz="0" w:space="0" w:color="auto"/>
        <w:right w:val="none" w:sz="0" w:space="0" w:color="auto"/>
      </w:divBdr>
    </w:div>
    <w:div w:id="882324104">
      <w:bodyDiv w:val="1"/>
      <w:marLeft w:val="0"/>
      <w:marRight w:val="0"/>
      <w:marTop w:val="0"/>
      <w:marBottom w:val="0"/>
      <w:divBdr>
        <w:top w:val="none" w:sz="0" w:space="0" w:color="auto"/>
        <w:left w:val="none" w:sz="0" w:space="0" w:color="auto"/>
        <w:bottom w:val="none" w:sz="0" w:space="0" w:color="auto"/>
        <w:right w:val="none" w:sz="0" w:space="0" w:color="auto"/>
      </w:divBdr>
    </w:div>
    <w:div w:id="982346814">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383099070">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B40AEB"/>
    <w:rsid w:val="00B65812"/>
    <w:rsid w:val="00B71C9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00BA6"/>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4216</Words>
  <Characters>21084</Characters>
  <Application>Microsoft Office Word</Application>
  <DocSecurity>4</DocSecurity>
  <Lines>175</Lines>
  <Paragraphs>50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25250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2023-09-11T06:54:00Z</dcterms:created>
  <dcterms:modified xsi:type="dcterms:W3CDTF">2023-09-11T06:54:00Z</dcterms:modified>
</cp:coreProperties>
</file>